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ИНФОРМАЦИОННАЯ </w:t>
      </w:r>
      <w:r w:rsidR="00410B4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КАРТА</w:t>
      </w:r>
    </w:p>
    <w:p w:rsidR="00ED1A04" w:rsidRPr="00EB1F0D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EB1F0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УЧАСТИЕМ</w:t>
      </w:r>
      <w:r w:rsidR="00EB1F0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СМП</w:t>
      </w:r>
      <w:r w:rsidR="00AD4F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 СОНКО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5386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</w:t>
            </w:r>
            <w:r w:rsidRPr="00AA05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</w:tcPr>
          <w:p w:rsidR="00ED1A04" w:rsidRPr="00ED1A04" w:rsidRDefault="00ED1A04" w:rsidP="00821453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</w:t>
            </w:r>
            <w:r w:rsidR="00821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</w:tcPr>
          <w:p w:rsidR="00ED1A04" w:rsidRPr="00ED1A04" w:rsidRDefault="001D605C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Логинов Михаил Владимирович,  </w:t>
            </w:r>
            <w:r w:rsidR="00ED1A04"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контрактной службы: заместитель директора  по  правовой </w:t>
            </w:r>
            <w:r w:rsidR="0082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  <w:r w:rsidR="0082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закупкам </w:t>
            </w:r>
            <w:r w:rsidR="0082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начальник  ЮО – Пахомова Светлана  Алексеевна,</w:t>
            </w:r>
          </w:p>
          <w:p w:rsidR="00ED1A04" w:rsidRPr="00ED1A04" w:rsidRDefault="00ED1A04" w:rsidP="0082145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77-600,  добавочный  номер </w:t>
            </w:r>
            <w:r w:rsidR="0082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Pr="00117358" w:rsidRDefault="00AD4F4F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общим вопросам</w:t>
            </w:r>
            <w:r w:rsidR="00117358"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Людмила Александровна</w:t>
            </w:r>
            <w:r w:rsidR="00117358"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телефон/факс:8346-38-77-600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(доб.80-</w:t>
            </w:r>
            <w:r w:rsidR="001D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  <w:r w:rsidR="00E2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80-135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D1A04" w:rsidRPr="00AA05CE" w:rsidRDefault="00117358" w:rsidP="00117358">
            <w:pPr>
              <w:pStyle w:val="a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почты:</w:t>
            </w:r>
            <w:r w:rsidR="00EB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AA05CE" w:rsidRPr="00B311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omts</w:t>
              </w:r>
              <w:r w:rsidR="00AA05CE" w:rsidRPr="00B3119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A05CE" w:rsidRPr="00B311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lgutviv</w:t>
              </w:r>
              <w:r w:rsidR="00AA05CE" w:rsidRPr="00B3119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A05CE" w:rsidRPr="00B3119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7358" w:rsidRPr="00ED1A04" w:rsidRDefault="00117358" w:rsidP="00AA05C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</w:tcPr>
          <w:p w:rsidR="00E25130" w:rsidRDefault="00E25130" w:rsidP="001D605C">
            <w:pPr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05C" w:rsidRPr="00AA05CE" w:rsidRDefault="001D605C" w:rsidP="001D605C">
            <w:pPr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</w:t>
            </w:r>
            <w:r w:rsidR="00AA05CE">
              <w:rPr>
                <w:rFonts w:ascii="Times New Roman" w:hAnsi="Times New Roman"/>
                <w:color w:val="000000"/>
                <w:sz w:val="24"/>
                <w:szCs w:val="24"/>
              </w:rPr>
              <w:t>электроматериалов</w:t>
            </w:r>
          </w:p>
          <w:p w:rsidR="00ED1A04" w:rsidRPr="00ED1A04" w:rsidRDefault="00ED1A04" w:rsidP="001D605C">
            <w:pPr>
              <w:spacing w:after="0"/>
              <w:ind w:left="1370" w:hanging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</w:tcPr>
          <w:p w:rsidR="001D605C" w:rsidRPr="00ED1A04" w:rsidRDefault="00AA05CE" w:rsidP="00AA05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173861702844186170100100720012790000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</w:tcPr>
          <w:p w:rsidR="00ED1A04" w:rsidRPr="00ED1A04" w:rsidRDefault="00ED1A04" w:rsidP="00EB1F0D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 w:rsidRPr="00EB1F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 w:rsidRPr="00EB1F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ED1A04" w:rsidRPr="00ED1A04" w:rsidRDefault="00EB1F0D" w:rsidP="00EB1F0D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 (Приложение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 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укциона на закупку товаров у СМП)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</w:tcPr>
          <w:p w:rsidR="00117358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Default="00AA05CE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sz w:val="24"/>
                <w:szCs w:val="24"/>
              </w:rPr>
              <w:t>дней с момента заключения</w:t>
            </w:r>
            <w:r w:rsidR="0011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  <w:p w:rsidR="00117358" w:rsidRPr="00ED1A04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</w:tcPr>
          <w:p w:rsidR="00ED1A04" w:rsidRPr="00ED1A04" w:rsidRDefault="00117358" w:rsidP="0057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 товарной 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vAlign w:val="center"/>
          </w:tcPr>
          <w:p w:rsidR="00ED1A04" w:rsidRPr="00ED1A04" w:rsidRDefault="007C3C61" w:rsidP="007C3C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Гарантийный срок на товар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должен </w:t>
            </w: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овать</w:t>
            </w: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гарантийному сроку, установленному производителем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vAlign w:val="center"/>
          </w:tcPr>
          <w:p w:rsidR="00ED1A04" w:rsidRPr="00117358" w:rsidRDefault="00117358" w:rsidP="0012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100% объем 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</w:tcPr>
          <w:p w:rsidR="00ED1A04" w:rsidRPr="00ED1A04" w:rsidRDefault="00AA05CE" w:rsidP="00AA05CE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671 657 рублей</w:t>
            </w:r>
            <w:r w:rsidR="001D605C" w:rsidRPr="001D6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  <w:r w:rsidR="001D605C" w:rsidRPr="001D6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копеек </w:t>
            </w:r>
            <w:r w:rsidR="00117358" w:rsidRPr="001D60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Шестьсот семьдесят одна тысяча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шестьсот пятьдесят один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ь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35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</w:tcPr>
          <w:p w:rsidR="00ED1A04" w:rsidRPr="00ED1A04" w:rsidRDefault="00117358" w:rsidP="005760B9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В цену товара включены все необходимые расходы, в том числе транспортные расходы, расходы на страхование, уплату налогов, таможенных пошлин, сборов и других обязательных платежей.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</w:tcPr>
          <w:p w:rsidR="00AA05CE" w:rsidRDefault="00AA05CE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</w:tcPr>
          <w:p w:rsidR="00AA05CE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Порядок применения официального курса иностранной валюты к рублю Российской Федерации и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используемого при оплате контракта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</w:t>
            </w:r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</w:tcPr>
          <w:p w:rsidR="00ED1A04" w:rsidRPr="00ED1A04" w:rsidRDefault="00126DB9" w:rsidP="00EB1F0D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СМП)</w:t>
            </w:r>
            <w:r w:rsidR="00EB1F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</w:tcPr>
          <w:p w:rsidR="00ED1A04" w:rsidRPr="00ED1A04" w:rsidRDefault="00ED1A04" w:rsidP="00EB1F0D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</w:tcPr>
          <w:p w:rsidR="00ED1A04" w:rsidRPr="00ED1A04" w:rsidRDefault="00ED1A04" w:rsidP="00EB1F0D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 контракта</w:t>
            </w:r>
          </w:p>
        </w:tc>
        <w:tc>
          <w:tcPr>
            <w:tcW w:w="5386" w:type="dxa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</w:tcPr>
          <w:p w:rsidR="00ED1A04" w:rsidRPr="00ED1A04" w:rsidRDefault="00EB1F0D" w:rsidP="00EB1F0D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 .2 Часть 3  Инструкции 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</w:tcPr>
          <w:p w:rsidR="00117358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</w:tcPr>
          <w:p w:rsidR="00ED1A04" w:rsidRPr="00ED1A04" w:rsidRDefault="00AD4F4F" w:rsidP="00AA05CE">
            <w:pPr>
              <w:shd w:val="clear" w:color="auto" w:fill="FFFFFF"/>
              <w:spacing w:after="255" w:line="300" w:lineRule="atLeast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РФ от 26 сентября 2016 г. № 968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5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</w:t>
            </w:r>
            <w:r w:rsidR="00AA05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54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</w:tcPr>
          <w:p w:rsidR="00ED1A04" w:rsidRPr="00ED1A04" w:rsidRDefault="00EB1F0D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3.3</w:t>
            </w:r>
            <w:r w:rsidR="001D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3</w:t>
            </w:r>
            <w:r w:rsidR="001D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</w:tcPr>
          <w:p w:rsidR="00EB1F0D" w:rsidRDefault="00EB1F0D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</w:tcPr>
          <w:p w:rsidR="00EB1F0D" w:rsidRDefault="00EB1F0D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</w:tcPr>
          <w:p w:rsidR="00ED1A04" w:rsidRPr="00117358" w:rsidRDefault="00117358" w:rsidP="0011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</w:tcPr>
          <w:p w:rsidR="00EB1F0D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  <w:r w:rsidR="00EB1F0D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10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</w:tcPr>
          <w:p w:rsidR="00117358" w:rsidRDefault="00117358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</w:tcPr>
          <w:p w:rsidR="00ED1A04" w:rsidRPr="00ED1A04" w:rsidRDefault="001D605C" w:rsidP="001D60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1.5.1 Часть 1 Инструкции 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EB1F0D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 xml:space="preserve">е 1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 задание)  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</w:tcPr>
          <w:p w:rsidR="00ED1A04" w:rsidRPr="00ED1A04" w:rsidRDefault="004514E4" w:rsidP="00117358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</w:tcPr>
          <w:p w:rsidR="00ED1A04" w:rsidRPr="00ED1A04" w:rsidRDefault="004514E4" w:rsidP="00821453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82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</w:t>
            </w:r>
            <w:r w:rsidR="00821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аукциона </w:t>
            </w:r>
            <w:r w:rsidR="00821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821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821453">
        <w:trPr>
          <w:trHeight w:val="65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2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82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821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1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25130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30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</w:tcPr>
          <w:p w:rsidR="00ED1A04" w:rsidRPr="00E25130" w:rsidRDefault="009A3923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0195C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B1F0D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195C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ED1A04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A04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00  м</w:t>
            </w:r>
            <w:r w:rsidR="004514E4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453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A04" w:rsidRPr="00E25130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ED1A04" w:rsidRPr="00E25130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25130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30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</w:tcPr>
          <w:p w:rsidR="00E25130" w:rsidRPr="00E25130" w:rsidRDefault="00E25130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D1A04" w:rsidRPr="00E25130" w:rsidRDefault="009A3923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</w:t>
            </w:r>
            <w:r w:rsidR="00ED1A04" w:rsidRPr="00E251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E25130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25130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ED1A04" w:rsidRPr="00E25130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</w:tcPr>
          <w:p w:rsidR="00E25130" w:rsidRPr="00E25130" w:rsidRDefault="00E25130" w:rsidP="00156BF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D1A04" w:rsidRPr="00E25130" w:rsidRDefault="00AA05CE" w:rsidP="00693A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</w:t>
            </w:r>
            <w:r w:rsidR="00ED1A04" w:rsidRPr="00E251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</w:tcPr>
          <w:p w:rsidR="00ED1A04" w:rsidRPr="00ED1A04" w:rsidRDefault="004514E4" w:rsidP="00821453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поставку </w:t>
            </w:r>
            <w:r w:rsidR="00821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</w:tcPr>
          <w:p w:rsidR="00ED1A04" w:rsidRPr="00E25130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130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AA05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E25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E25130" w:rsidRPr="00E25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25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130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предоставления   разъяснений: </w:t>
            </w:r>
            <w:r w:rsidR="009A39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51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 w:rsidRPr="00E2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51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 w:rsidRPr="00E2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</w:t>
            </w:r>
            <w:r w:rsidR="001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условий  </w:t>
            </w:r>
            <w:r w:rsidR="001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</w:tcPr>
          <w:p w:rsidR="00410B47" w:rsidRPr="00410B47" w:rsidRDefault="004514E4" w:rsidP="00410B47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  <w:r w:rsidR="00410B47"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 СМП</w:t>
            </w:r>
          </w:p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156BF9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5386" w:type="dxa"/>
          </w:tcPr>
          <w:p w:rsidR="00156BF9" w:rsidRDefault="00156BF9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156BF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5386" w:type="dxa"/>
          </w:tcPr>
          <w:p w:rsidR="00156BF9" w:rsidRDefault="00156BF9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156BF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5386" w:type="dxa"/>
          </w:tcPr>
          <w:p w:rsidR="00156BF9" w:rsidRDefault="00156BF9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</w:tcPr>
          <w:p w:rsidR="00410B47" w:rsidRPr="00410B47" w:rsidRDefault="002B22DE" w:rsidP="00410B47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="00410B47"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 СМП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</w:tcPr>
          <w:p w:rsidR="002B22DE" w:rsidRPr="00410B47" w:rsidRDefault="002B22DE" w:rsidP="00410B47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="00410B47"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 СМП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признания электронного 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несостоявшимся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, основания и действия Заказчика указаны в статье</w:t>
            </w:r>
            <w:bookmarkStart w:id="0" w:name="_GoBack"/>
            <w:bookmarkEnd w:id="0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2"/>
      <w:headerReference w:type="first" r:id="rId13"/>
      <w:footerReference w:type="first" r:id="rId14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FA" w:rsidRDefault="00252EFA" w:rsidP="0036253E">
      <w:pPr>
        <w:spacing w:after="0" w:line="240" w:lineRule="auto"/>
      </w:pPr>
      <w:r>
        <w:separator/>
      </w:r>
    </w:p>
  </w:endnote>
  <w:endnote w:type="continuationSeparator" w:id="0">
    <w:p w:rsidR="00252EFA" w:rsidRDefault="00252EFA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FA" w:rsidRDefault="00252EFA" w:rsidP="0036253E">
      <w:pPr>
        <w:spacing w:after="0" w:line="240" w:lineRule="auto"/>
      </w:pPr>
      <w:r>
        <w:separator/>
      </w:r>
    </w:p>
  </w:footnote>
  <w:footnote w:type="continuationSeparator" w:id="0">
    <w:p w:rsidR="00252EFA" w:rsidRDefault="00252EFA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42D6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7692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17358"/>
    <w:rsid w:val="00126DB9"/>
    <w:rsid w:val="001331FB"/>
    <w:rsid w:val="00141791"/>
    <w:rsid w:val="001420C8"/>
    <w:rsid w:val="0014554B"/>
    <w:rsid w:val="001471F9"/>
    <w:rsid w:val="00156186"/>
    <w:rsid w:val="00156BF9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D605C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2EFA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6BD9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C1E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06D7E"/>
    <w:rsid w:val="00410B47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077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93A62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27C0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1453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402"/>
    <w:rsid w:val="008D6640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3923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111D"/>
    <w:rsid w:val="00A02311"/>
    <w:rsid w:val="00A03FD3"/>
    <w:rsid w:val="00A06201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465D6"/>
    <w:rsid w:val="00A511E6"/>
    <w:rsid w:val="00A54CA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5CE"/>
    <w:rsid w:val="00AA0E27"/>
    <w:rsid w:val="00AA23CF"/>
    <w:rsid w:val="00AA5594"/>
    <w:rsid w:val="00AA6466"/>
    <w:rsid w:val="00AB2522"/>
    <w:rsid w:val="00AB2A81"/>
    <w:rsid w:val="00AC0845"/>
    <w:rsid w:val="00AC1E51"/>
    <w:rsid w:val="00AD0182"/>
    <w:rsid w:val="00AD4F4F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267E1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96F36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0F77"/>
    <w:rsid w:val="00C33027"/>
    <w:rsid w:val="00C35A28"/>
    <w:rsid w:val="00C35A35"/>
    <w:rsid w:val="00C42823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C7A0C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5130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1F0D"/>
    <w:rsid w:val="00EB4B7B"/>
    <w:rsid w:val="00EB7BC6"/>
    <w:rsid w:val="00EC093F"/>
    <w:rsid w:val="00EC579E"/>
    <w:rsid w:val="00EC7A8D"/>
    <w:rsid w:val="00ED0431"/>
    <w:rsid w:val="00ED1A04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CD17F89F1F18A6DEEC20FBDE0134B80F820B2F421619BC5C996DB474A26EB6F421852F39221D56B7aD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ts@lgutvi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22E-219E-41DD-BEFE-2B39DC65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4</cp:revision>
  <cp:lastPrinted>2017-07-17T07:18:00Z</cp:lastPrinted>
  <dcterms:created xsi:type="dcterms:W3CDTF">2017-07-17T07:09:00Z</dcterms:created>
  <dcterms:modified xsi:type="dcterms:W3CDTF">2017-07-18T10:17:00Z</dcterms:modified>
</cp:coreProperties>
</file>