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F14991" w:rsidRDefault="00F14991" w:rsidP="00594DB8">
      <w:pPr>
        <w:pStyle w:val="Default"/>
        <w:jc w:val="center"/>
        <w:rPr>
          <w:b/>
          <w:bCs/>
        </w:rPr>
      </w:pPr>
    </w:p>
    <w:p w:rsidR="00FE032A" w:rsidRPr="00634C9E" w:rsidRDefault="00F14991" w:rsidP="00594DB8">
      <w:pPr>
        <w:pStyle w:val="Default"/>
        <w:jc w:val="center"/>
      </w:pPr>
      <w:r>
        <w:rPr>
          <w:b/>
          <w:bCs/>
        </w:rPr>
        <w:t>К</w:t>
      </w:r>
      <w:r w:rsidR="00FE032A" w:rsidRPr="00634C9E">
        <w:rPr>
          <w:b/>
          <w:bCs/>
        </w:rPr>
        <w:t>онтракт № ___</w:t>
      </w:r>
    </w:p>
    <w:p w:rsidR="00FE032A" w:rsidRPr="00634C9E" w:rsidRDefault="00FE032A" w:rsidP="00594DB8">
      <w:pPr>
        <w:pStyle w:val="Default"/>
        <w:jc w:val="center"/>
        <w:rPr>
          <w:b/>
        </w:rPr>
      </w:pPr>
      <w:r w:rsidRPr="00634C9E">
        <w:rPr>
          <w:b/>
          <w:bCs/>
          <w:color w:val="auto"/>
        </w:rPr>
        <w:t xml:space="preserve">на </w:t>
      </w:r>
      <w:r w:rsidR="00594DB8" w:rsidRPr="00634C9E">
        <w:rPr>
          <w:b/>
          <w:bCs/>
          <w:color w:val="auto"/>
        </w:rPr>
        <w:t>поставку</w:t>
      </w:r>
      <w:r w:rsidR="00317C73" w:rsidRPr="00634C9E">
        <w:rPr>
          <w:b/>
        </w:rPr>
        <w:t xml:space="preserve"> </w:t>
      </w:r>
      <w:r w:rsidR="00D87EFD">
        <w:rPr>
          <w:b/>
        </w:rPr>
        <w:t xml:space="preserve">ионообменной </w:t>
      </w:r>
      <w:r w:rsidR="00F14991">
        <w:rPr>
          <w:b/>
        </w:rPr>
        <w:t xml:space="preserve"> </w:t>
      </w:r>
      <w:r w:rsidR="00D87EFD">
        <w:rPr>
          <w:b/>
        </w:rPr>
        <w:t>смолы</w:t>
      </w:r>
    </w:p>
    <w:p w:rsidR="0096479E" w:rsidRPr="00634C9E" w:rsidRDefault="0096479E" w:rsidP="00594DB8">
      <w:pPr>
        <w:pStyle w:val="Default"/>
        <w:jc w:val="center"/>
        <w:rPr>
          <w:i/>
          <w:color w:val="auto"/>
        </w:rPr>
      </w:pPr>
      <w:r w:rsidRPr="00634C9E">
        <w:rPr>
          <w:i/>
        </w:rPr>
        <w:t>(Идентификационный код закупки</w:t>
      </w:r>
      <w:r w:rsidR="009748A1" w:rsidRPr="00634C9E">
        <w:rPr>
          <w:i/>
        </w:rPr>
        <w:t xml:space="preserve"> №</w:t>
      </w:r>
      <w:r w:rsidR="00D87EFD" w:rsidRPr="004D7F35">
        <w:rPr>
          <w:i/>
        </w:rPr>
        <w:t>173861702844186170100100030002016</w:t>
      </w:r>
      <w:r w:rsidR="009748A1" w:rsidRPr="004D7F35">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именуемое</w:t>
      </w:r>
      <w:proofErr w:type="gramEnd"/>
      <w:r w:rsidR="0053277D">
        <w:rPr>
          <w:rFonts w:ascii="Times New Roman" w:hAnsi="Times New Roman" w:cs="Times New Roman"/>
          <w:sz w:val="24"/>
          <w:szCs w:val="24"/>
        </w:rPr>
        <w:t xml:space="preserve"> </w:t>
      </w:r>
      <w:r w:rsidRPr="00634C9E">
        <w:rPr>
          <w:rFonts w:ascii="Times New Roman" w:hAnsi="Times New Roman" w:cs="Times New Roman"/>
          <w:sz w:val="24"/>
          <w:szCs w:val="24"/>
        </w:rPr>
        <w:t>в</w:t>
      </w:r>
      <w:r w:rsidR="0053277D">
        <w:rPr>
          <w:rFonts w:ascii="Times New Roman" w:hAnsi="Times New Roman" w:cs="Times New Roman"/>
          <w:sz w:val="24"/>
          <w:szCs w:val="24"/>
        </w:rPr>
        <w:t xml:space="preserve"> </w:t>
      </w:r>
      <w:r w:rsidRPr="00634C9E">
        <w:rPr>
          <w:rFonts w:ascii="Times New Roman" w:hAnsi="Times New Roman" w:cs="Times New Roman"/>
          <w:sz w:val="24"/>
          <w:szCs w:val="24"/>
        </w:rPr>
        <w:t xml:space="preserve"> 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w:t>
      </w:r>
      <w:r w:rsidR="00594DB8" w:rsidRPr="00634C9E">
        <w:rPr>
          <w:rFonts w:ascii="Times New Roman" w:hAnsi="Times New Roman" w:cs="Times New Roman"/>
          <w:sz w:val="24"/>
          <w:szCs w:val="24"/>
        </w:rPr>
        <w:t>Поставщик</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(протокол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 xml:space="preserve">астоящий муниципальный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634C9E"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594DB8" w:rsidRPr="00634C9E">
        <w:t xml:space="preserve"> </w:t>
      </w:r>
      <w:r w:rsidR="00D87EFD">
        <w:t>ионообменную смолу</w:t>
      </w:r>
      <w:r w:rsidRPr="00634C9E">
        <w:t xml:space="preserve"> (далее</w:t>
      </w:r>
      <w:r w:rsidR="00594DB8" w:rsidRPr="00634C9E">
        <w:t xml:space="preserve"> - товар</w:t>
      </w:r>
      <w:r w:rsidRPr="00634C9E">
        <w:t xml:space="preserve">), а </w:t>
      </w:r>
      <w:r w:rsidR="00AF31E7" w:rsidRPr="00634C9E">
        <w:t>Заказчик</w:t>
      </w:r>
      <w:r w:rsidRPr="00634C9E">
        <w:t xml:space="preserve"> обязуется принять и оплатить </w:t>
      </w:r>
      <w:r w:rsidR="009A4FC9" w:rsidRPr="00634C9E">
        <w:t>товар</w:t>
      </w:r>
      <w:r w:rsidRPr="00634C9E">
        <w:t xml:space="preserve"> </w:t>
      </w:r>
      <w:r w:rsidR="00FE032A" w:rsidRPr="00634C9E">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w:t>
      </w:r>
      <w:proofErr w:type="gramStart"/>
      <w:r w:rsidR="005E2FDD">
        <w:t>согласно</w:t>
      </w:r>
      <w:proofErr w:type="gramEnd"/>
      <w:r w:rsidR="005E2FDD">
        <w:t xml:space="preserve"> Технического задания </w:t>
      </w:r>
      <w:r w:rsidRPr="00634C9E">
        <w:t>(Приложение №1 к настоящему Контракту</w:t>
      </w:r>
      <w:r w:rsidR="0037694F" w:rsidRPr="00634C9E">
        <w:t>)</w:t>
      </w:r>
      <w:r w:rsidR="00AF31E7" w:rsidRPr="00634C9E">
        <w:t>, спецификацией (Приложение № 2 к настоящему Контракту).</w:t>
      </w:r>
      <w:r w:rsidRPr="00634C9E">
        <w:t xml:space="preserve"> </w:t>
      </w:r>
    </w:p>
    <w:p w:rsidR="00955993"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D87EFD" w:rsidRPr="00B7779F">
        <w:rPr>
          <w:bCs/>
          <w:iCs/>
        </w:rPr>
        <w:t xml:space="preserve">628449, Тюменская область, Ханты-Мансийский автономный </w:t>
      </w:r>
      <w:proofErr w:type="spellStart"/>
      <w:r w:rsidR="00D87EFD" w:rsidRPr="00B7779F">
        <w:rPr>
          <w:bCs/>
          <w:iCs/>
        </w:rPr>
        <w:t>округ-Югра</w:t>
      </w:r>
      <w:proofErr w:type="spellEnd"/>
      <w:r w:rsidR="00D87EFD" w:rsidRPr="00B7779F">
        <w:rPr>
          <w:bCs/>
          <w:iCs/>
        </w:rPr>
        <w:t xml:space="preserve">, </w:t>
      </w:r>
      <w:proofErr w:type="spellStart"/>
      <w:r w:rsidR="00D87EFD" w:rsidRPr="00B7779F">
        <w:rPr>
          <w:bCs/>
          <w:iCs/>
        </w:rPr>
        <w:t>Сургутский</w:t>
      </w:r>
      <w:proofErr w:type="spellEnd"/>
      <w:r w:rsidR="00D87EFD" w:rsidRPr="00B7779F">
        <w:rPr>
          <w:bCs/>
          <w:iCs/>
        </w:rPr>
        <w:t xml:space="preserve"> район, город </w:t>
      </w:r>
      <w:proofErr w:type="spellStart"/>
      <w:r w:rsidR="00D87EFD" w:rsidRPr="00B7779F">
        <w:rPr>
          <w:bCs/>
          <w:iCs/>
        </w:rPr>
        <w:t>Лянтор</w:t>
      </w:r>
      <w:proofErr w:type="spellEnd"/>
      <w:r w:rsidR="00D87EFD" w:rsidRPr="00B7779F">
        <w:rPr>
          <w:bCs/>
          <w:iCs/>
        </w:rPr>
        <w:t xml:space="preserve">, </w:t>
      </w:r>
      <w:r w:rsidR="00D87EFD">
        <w:rPr>
          <w:bCs/>
          <w:iCs/>
        </w:rPr>
        <w:t>ул. Магистральная</w:t>
      </w:r>
      <w:r w:rsidR="00D87EFD" w:rsidRPr="00B7779F">
        <w:rPr>
          <w:bCs/>
          <w:iCs/>
        </w:rPr>
        <w:t xml:space="preserve">, строение </w:t>
      </w:r>
      <w:r w:rsidR="00D87EFD">
        <w:rPr>
          <w:bCs/>
          <w:iCs/>
        </w:rPr>
        <w:t>14</w:t>
      </w:r>
      <w:r w:rsidR="00634C9E" w:rsidRPr="00634C9E">
        <w:t>.</w:t>
      </w:r>
    </w:p>
    <w:p w:rsidR="00F14991" w:rsidRPr="00634C9E" w:rsidRDefault="00F14991" w:rsidP="00003E22">
      <w:pPr>
        <w:pStyle w:val="Default"/>
        <w:numPr>
          <w:ilvl w:val="1"/>
          <w:numId w:val="19"/>
        </w:numPr>
        <w:ind w:left="0" w:firstLine="851"/>
        <w:jc w:val="both"/>
      </w:pPr>
      <w:r>
        <w:t>Срок поставки товара:</w:t>
      </w:r>
      <w:r w:rsidRPr="00F14991">
        <w:t xml:space="preserve"> </w:t>
      </w:r>
      <w:r w:rsidRPr="00101F05">
        <w:t xml:space="preserve">30 дней </w:t>
      </w:r>
      <w:r>
        <w:t xml:space="preserve"> </w:t>
      </w:r>
      <w:r w:rsidRPr="00101F05">
        <w:t xml:space="preserve">с </w:t>
      </w:r>
      <w:r>
        <w:t xml:space="preserve"> </w:t>
      </w:r>
      <w:r w:rsidRPr="00101F05">
        <w:t>момента  подписания</w:t>
      </w:r>
      <w:r>
        <w:t xml:space="preserve">  контракта.</w:t>
      </w: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w:t>
      </w:r>
      <w:r w:rsidR="00071931" w:rsidRPr="00634C9E">
        <w:rPr>
          <w:sz w:val="24"/>
          <w:szCs w:val="24"/>
        </w:rPr>
        <w:t>_________________________</w:t>
      </w:r>
      <w:r w:rsidRPr="00634C9E">
        <w:rPr>
          <w:sz w:val="24"/>
          <w:szCs w:val="24"/>
        </w:rPr>
        <w:t>___</w:t>
      </w:r>
      <w:r w:rsidR="00634C9E">
        <w:rPr>
          <w:sz w:val="24"/>
          <w:szCs w:val="24"/>
        </w:rPr>
        <w:t>_______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цифрами</w:t>
      </w:r>
      <w:r w:rsidR="009748A1" w:rsidRPr="00634C9E">
        <w:rPr>
          <w:vertAlign w:val="superscript"/>
        </w:rPr>
        <w:t xml:space="preserve"> </w:t>
      </w:r>
      <w:r w:rsidR="008F004D" w:rsidRPr="00634C9E">
        <w:rPr>
          <w:vertAlign w:val="superscript"/>
        </w:rPr>
        <w:t xml:space="preserve"> и </w:t>
      </w:r>
      <w:r w:rsidR="009748A1" w:rsidRPr="00634C9E">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A4FC9" w:rsidRPr="00634C9E">
        <w:t>товара</w:t>
      </w:r>
      <w:r w:rsidR="00220D04" w:rsidRPr="00634C9E">
        <w:t xml:space="preserve">, </w:t>
      </w:r>
      <w:r w:rsidR="002F6575" w:rsidRPr="00634C9E">
        <w:t>транспортные, страховые платежи, уплату налогов, таможенных пошлин, сборов и других обязательных 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w:t>
      </w:r>
      <w:r w:rsidR="009711F3" w:rsidRPr="00634C9E">
        <w:rPr>
          <w:sz w:val="24"/>
          <w:szCs w:val="24"/>
        </w:rPr>
        <w:t xml:space="preserve"> </w:t>
      </w:r>
      <w:r w:rsidRPr="00634C9E">
        <w:rPr>
          <w:sz w:val="24"/>
          <w:szCs w:val="24"/>
        </w:rPr>
        <w:t xml:space="preserve"> физическим </w:t>
      </w:r>
      <w:r w:rsidR="009711F3" w:rsidRPr="00634C9E">
        <w:rPr>
          <w:sz w:val="24"/>
          <w:szCs w:val="24"/>
        </w:rPr>
        <w:t xml:space="preserve"> </w:t>
      </w:r>
      <w:r w:rsidRPr="00634C9E">
        <w:rPr>
          <w:sz w:val="24"/>
          <w:szCs w:val="24"/>
        </w:rPr>
        <w:t xml:space="preserve">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подлежащая 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лицу, уменьшается на размер налоговых 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F004D" w:rsidRPr="00634C9E" w:rsidRDefault="007C2E93" w:rsidP="00CE6EAE">
      <w:pPr>
        <w:pStyle w:val="ac"/>
        <w:numPr>
          <w:ilvl w:val="1"/>
          <w:numId w:val="19"/>
        </w:numPr>
        <w:overflowPunct w:val="0"/>
        <w:ind w:left="0" w:firstLine="851"/>
        <w:textAlignment w:val="baseline"/>
        <w:rPr>
          <w:sz w:val="24"/>
          <w:szCs w:val="24"/>
        </w:rPr>
      </w:pPr>
      <w:r w:rsidRPr="00003E22">
        <w:rPr>
          <w:sz w:val="24"/>
          <w:szCs w:val="24"/>
        </w:rPr>
        <w:t>Расчет</w:t>
      </w:r>
      <w:r w:rsidR="00C002BE" w:rsidRPr="00003E22">
        <w:rPr>
          <w:sz w:val="24"/>
          <w:szCs w:val="24"/>
        </w:rPr>
        <w:t xml:space="preserve"> З</w:t>
      </w:r>
      <w:r w:rsidRPr="00003E22">
        <w:rPr>
          <w:sz w:val="24"/>
          <w:szCs w:val="24"/>
        </w:rPr>
        <w:t xml:space="preserve">аказчика с </w:t>
      </w:r>
      <w:r w:rsidR="00C002BE" w:rsidRPr="00003E22">
        <w:rPr>
          <w:sz w:val="24"/>
          <w:szCs w:val="24"/>
        </w:rPr>
        <w:t>По</w:t>
      </w:r>
      <w:r w:rsidR="009A4FC9" w:rsidRPr="00003E22">
        <w:rPr>
          <w:sz w:val="24"/>
          <w:szCs w:val="24"/>
        </w:rPr>
        <w:t>ставщиком</w:t>
      </w:r>
      <w:r w:rsidRPr="00003E22">
        <w:rPr>
          <w:sz w:val="24"/>
          <w:szCs w:val="24"/>
        </w:rPr>
        <w:t xml:space="preserve"> производится</w:t>
      </w:r>
      <w:r w:rsidR="009748A1" w:rsidRPr="00003E22">
        <w:rPr>
          <w:sz w:val="24"/>
          <w:szCs w:val="24"/>
        </w:rPr>
        <w:t xml:space="preserve"> </w:t>
      </w:r>
      <w:r w:rsidR="00D51B1D">
        <w:rPr>
          <w:sz w:val="24"/>
          <w:szCs w:val="24"/>
        </w:rPr>
        <w:t xml:space="preserve"> </w:t>
      </w:r>
      <w:proofErr w:type="gramStart"/>
      <w:r w:rsidR="009748A1" w:rsidRPr="00003E22">
        <w:rPr>
          <w:sz w:val="24"/>
          <w:szCs w:val="24"/>
        </w:rPr>
        <w:t xml:space="preserve">с </w:t>
      </w:r>
      <w:r w:rsidR="00D51B1D">
        <w:rPr>
          <w:sz w:val="24"/>
          <w:szCs w:val="24"/>
        </w:rPr>
        <w:t xml:space="preserve"> </w:t>
      </w:r>
      <w:r w:rsidR="009748A1" w:rsidRPr="00003E22">
        <w:rPr>
          <w:sz w:val="24"/>
          <w:szCs w:val="24"/>
        </w:rPr>
        <w:t>даты</w:t>
      </w:r>
      <w:r w:rsidR="00101F05" w:rsidRPr="00003E22">
        <w:rPr>
          <w:sz w:val="24"/>
          <w:szCs w:val="24"/>
        </w:rPr>
        <w:t xml:space="preserve"> </w:t>
      </w:r>
      <w:r w:rsidR="009748A1" w:rsidRPr="00003E22">
        <w:rPr>
          <w:sz w:val="24"/>
          <w:szCs w:val="24"/>
        </w:rPr>
        <w:t xml:space="preserve"> поставки</w:t>
      </w:r>
      <w:proofErr w:type="gramEnd"/>
      <w:r w:rsidR="009748A1" w:rsidRPr="00003E22">
        <w:rPr>
          <w:sz w:val="24"/>
          <w:szCs w:val="24"/>
        </w:rPr>
        <w:t xml:space="preserve">  товара </w:t>
      </w:r>
      <w:r w:rsidRPr="00003E22">
        <w:rPr>
          <w:sz w:val="24"/>
          <w:szCs w:val="24"/>
        </w:rPr>
        <w:t>на основании докумен</w:t>
      </w:r>
      <w:r w:rsidR="00C550B7" w:rsidRPr="00003E22">
        <w:rPr>
          <w:sz w:val="24"/>
          <w:szCs w:val="24"/>
        </w:rPr>
        <w:t xml:space="preserve">тов, подтверждающих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A5636A" w:rsidRPr="00A5636A">
        <w:rPr>
          <w:sz w:val="24"/>
          <w:szCs w:val="24"/>
        </w:rPr>
        <w:t>30 (Тридцати) 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EB5FB3" w:rsidRDefault="00EB5FB3" w:rsidP="00EB5FB3">
      <w:pPr>
        <w:pStyle w:val="ac"/>
        <w:overflowPunct w:val="0"/>
        <w:ind w:left="851" w:firstLine="0"/>
        <w:textAlignment w:val="baseline"/>
        <w:rPr>
          <w:sz w:val="24"/>
          <w:szCs w:val="24"/>
        </w:rPr>
      </w:pPr>
    </w:p>
    <w:p w:rsidR="00F14991" w:rsidRDefault="00F14991" w:rsidP="00EB5FB3">
      <w:pPr>
        <w:pStyle w:val="ac"/>
        <w:overflowPunct w:val="0"/>
        <w:ind w:left="851" w:firstLine="0"/>
        <w:textAlignment w:val="baseline"/>
        <w:rPr>
          <w:sz w:val="24"/>
          <w:szCs w:val="24"/>
        </w:rPr>
      </w:pPr>
    </w:p>
    <w:p w:rsidR="00F14991" w:rsidRPr="00634C9E" w:rsidRDefault="00F14991" w:rsidP="00EB5FB3">
      <w:pPr>
        <w:pStyle w:val="ac"/>
        <w:overflowPunct w:val="0"/>
        <w:ind w:left="851" w:firstLine="0"/>
        <w:textAlignment w:val="baseline"/>
        <w:rPr>
          <w:sz w:val="24"/>
          <w:szCs w:val="24"/>
        </w:rPr>
      </w:pPr>
    </w:p>
    <w:p w:rsidR="00FE032A" w:rsidRPr="00634C9E" w:rsidRDefault="00FE032A" w:rsidP="00CE6EAE">
      <w:pPr>
        <w:pStyle w:val="Default"/>
        <w:numPr>
          <w:ilvl w:val="0"/>
          <w:numId w:val="19"/>
        </w:numPr>
        <w:spacing w:before="120" w:after="120"/>
        <w:jc w:val="center"/>
      </w:pPr>
      <w:r w:rsidRPr="00634C9E">
        <w:rPr>
          <w:b/>
          <w:bCs/>
        </w:rPr>
        <w:t>Права и обязанности 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 с</w:t>
      </w:r>
      <w:r w:rsidR="00EB5FB3">
        <w:t xml:space="preserve">  </w:t>
      </w:r>
      <w:r w:rsidR="00F01A93" w:rsidRPr="00634C9E">
        <w:t xml:space="preserve">сопроводительными документами (сертификатами) на русском языке,  новый, не бывший в употреблении товар </w:t>
      </w:r>
      <w:r w:rsidR="00C404B8" w:rsidRPr="00634C9E">
        <w:rPr>
          <w:bCs/>
        </w:rPr>
        <w:t>надлежащего качества</w:t>
      </w:r>
      <w:r w:rsidR="007C48B3" w:rsidRPr="00634C9E">
        <w:rPr>
          <w:bCs/>
        </w:rPr>
        <w:t xml:space="preserve"> в соответствии с </w:t>
      </w:r>
      <w:r w:rsidR="0006162F" w:rsidRPr="00634C9E">
        <w:rPr>
          <w:bCs/>
        </w:rPr>
        <w:t>требованием к товару</w:t>
      </w:r>
      <w:r w:rsidR="005E2FDD">
        <w:rPr>
          <w:bCs/>
        </w:rPr>
        <w:t xml:space="preserve"> </w:t>
      </w:r>
      <w:proofErr w:type="gramStart"/>
      <w:r w:rsidR="005E2FDD">
        <w:rPr>
          <w:bCs/>
        </w:rPr>
        <w:t>согласно</w:t>
      </w:r>
      <w:proofErr w:type="gramEnd"/>
      <w:r w:rsidR="005E2FDD">
        <w:rPr>
          <w:bCs/>
        </w:rPr>
        <w:t xml:space="preserve"> Технического задания</w:t>
      </w:r>
      <w:r w:rsidR="007C48B3" w:rsidRPr="00634C9E">
        <w:rPr>
          <w:bCs/>
        </w:rPr>
        <w:t xml:space="preserve">  (Приложение № 1 к настоящему Контракту) и </w:t>
      </w:r>
      <w:r w:rsidR="00B8601E" w:rsidRPr="00634C9E">
        <w:t xml:space="preserve"> </w:t>
      </w:r>
      <w:r w:rsidR="0037694F" w:rsidRPr="00634C9E">
        <w:t>спецификацией</w:t>
      </w:r>
      <w:r w:rsidR="000228AC" w:rsidRPr="00634C9E">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w:t>
      </w:r>
      <w:r w:rsidR="00EB5FB3">
        <w:rPr>
          <w:bCs/>
          <w:color w:val="auto"/>
        </w:rPr>
        <w:t xml:space="preserve"> </w:t>
      </w:r>
      <w:r w:rsidR="0044547F" w:rsidRPr="00634C9E">
        <w:rPr>
          <w:bCs/>
          <w:color w:val="auto"/>
        </w:rPr>
        <w:t xml:space="preserve">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 xml:space="preserve">качеству, объемам, сроку его поставки и иным требованиям, </w:t>
      </w:r>
      <w:r w:rsidR="00E40457">
        <w:rPr>
          <w:bCs/>
          <w:color w:val="auto"/>
        </w:rPr>
        <w:t xml:space="preserve"> </w:t>
      </w:r>
      <w:r w:rsidRPr="00634C9E">
        <w:rPr>
          <w:bCs/>
          <w:color w:val="auto"/>
        </w:rPr>
        <w:t xml:space="preserve">предусмотренным </w:t>
      </w:r>
      <w:r w:rsidR="00E40457">
        <w:rPr>
          <w:bCs/>
          <w:color w:val="auto"/>
        </w:rPr>
        <w:t xml:space="preserve"> </w:t>
      </w:r>
      <w:r w:rsidRPr="00634C9E">
        <w:rPr>
          <w:bCs/>
          <w:color w:val="auto"/>
        </w:rPr>
        <w:t>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которые подлежат возврату в течени</w:t>
      </w:r>
      <w:proofErr w:type="gramStart"/>
      <w:r w:rsidR="00FA600D" w:rsidRPr="00634C9E">
        <w:rPr>
          <w:bCs/>
          <w:color w:val="auto"/>
        </w:rPr>
        <w:t>и</w:t>
      </w:r>
      <w:proofErr w:type="gramEnd"/>
      <w:r w:rsidR="00FA600D" w:rsidRPr="00634C9E">
        <w:rPr>
          <w:bCs/>
          <w:color w:val="auto"/>
        </w:rPr>
        <w:t xml:space="preserve">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w:t>
      </w:r>
      <w:r w:rsidR="009748A1" w:rsidRPr="00634C9E">
        <w:rPr>
          <w:bCs/>
          <w:color w:val="auto"/>
        </w:rPr>
        <w:t xml:space="preserve"> </w:t>
      </w:r>
      <w:r w:rsidRPr="00634C9E">
        <w:rPr>
          <w:bCs/>
          <w:color w:val="auto"/>
        </w:rPr>
        <w:t xml:space="preserve">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аказчиком производится в соответствии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акт устранения недостатков с указанием </w:t>
      </w:r>
      <w:r w:rsidR="0037694F" w:rsidRPr="00634C9E">
        <w:rPr>
          <w:color w:val="auto"/>
        </w:rPr>
        <w:t>трехдневного срока</w:t>
      </w:r>
      <w:r w:rsidRPr="00634C9E">
        <w:rPr>
          <w:color w:val="auto"/>
        </w:rPr>
        <w:t xml:space="preserve"> их </w:t>
      </w:r>
      <w:r w:rsidRPr="00634C9E">
        <w:rPr>
          <w:color w:val="auto"/>
        </w:rPr>
        <w:lastRenderedPageBreak/>
        <w:t xml:space="preserve">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со 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9748A1" w:rsidRPr="00634C9E">
        <w:rPr>
          <w:b/>
        </w:rPr>
        <w:t>_____________________________</w:t>
      </w:r>
      <w:r w:rsidR="009B68C6" w:rsidRPr="00634C9E">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9" w:history="1">
        <w:r w:rsidRPr="00634C9E">
          <w:rPr>
            <w:rStyle w:val="ab"/>
            <w:i/>
            <w:iCs/>
          </w:rPr>
          <w:t>статьи 37</w:t>
        </w:r>
      </w:hyperlink>
      <w:r w:rsidRPr="00634C9E">
        <w:rPr>
          <w:i/>
          <w:iCs/>
        </w:rPr>
        <w:t xml:space="preserve"> Федерального закона №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w:t>
      </w:r>
      <w:r w:rsidR="009748A1" w:rsidRPr="00634C9E">
        <w:t xml:space="preserve"> </w:t>
      </w:r>
      <w:r w:rsidRPr="00634C9E">
        <w:t xml:space="preserve">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lastRenderedPageBreak/>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0053277D">
        <w:t xml:space="preserve"> </w:t>
      </w:r>
      <w:r w:rsidRPr="00634C9E">
        <w:t xml:space="preserve">в размере не менее одной трехсотой действующей на дату уплаты пеней ключевой </w:t>
      </w:r>
      <w:r w:rsidR="0053277D">
        <w:t xml:space="preserve"> </w:t>
      </w:r>
      <w:r w:rsidRPr="00634C9E">
        <w:t xml:space="preserve">ставки </w:t>
      </w:r>
      <w:r w:rsidR="0053277D">
        <w:t xml:space="preserve"> </w:t>
      </w:r>
      <w:r w:rsidRPr="00634C9E">
        <w:t xml:space="preserve">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 xml:space="preserve">ком обязательств (в том числе гарантийного обязательства), предусмотренных Контрактом, начисляются штрафы. </w:t>
      </w:r>
      <w:r w:rsidRPr="00634C9E">
        <w:rPr>
          <w:sz w:val="24"/>
          <w:szCs w:val="24"/>
        </w:rPr>
        <w:lastRenderedPageBreak/>
        <w:t>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 __________________________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w:t>
      </w:r>
      <w:r w:rsidRPr="00634C9E">
        <w:rPr>
          <w:rFonts w:ascii="Times New Roman" w:hAnsi="Times New Roman" w:cs="Times New Roman"/>
          <w:sz w:val="24"/>
          <w:szCs w:val="24"/>
        </w:rPr>
        <w:lastRenderedPageBreak/>
        <w:t>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 xml:space="preserve">кт </w:t>
      </w:r>
      <w:r w:rsidR="0034257F">
        <w:rPr>
          <w:rFonts w:ascii="Times New Roman" w:hAnsi="Times New Roman" w:cs="Times New Roman"/>
          <w:sz w:val="24"/>
          <w:szCs w:val="24"/>
        </w:rPr>
        <w:t xml:space="preserve"> </w:t>
      </w:r>
      <w:r w:rsidRPr="00634C9E">
        <w:rPr>
          <w:rFonts w:ascii="Times New Roman" w:hAnsi="Times New Roman" w:cs="Times New Roman"/>
          <w:sz w:val="24"/>
          <w:szCs w:val="24"/>
        </w:rPr>
        <w:t>вст</w:t>
      </w:r>
      <w:proofErr w:type="gramEnd"/>
      <w:r w:rsidRPr="00634C9E">
        <w:rPr>
          <w:rFonts w:ascii="Times New Roman" w:hAnsi="Times New Roman" w:cs="Times New Roman"/>
          <w:sz w:val="24"/>
          <w:szCs w:val="24"/>
        </w:rPr>
        <w:t xml:space="preserve">упает в </w:t>
      </w:r>
      <w:r w:rsidR="0034257F">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Все приложения к Контракту являются его неотъемлемой частью</w:t>
      </w:r>
      <w:r>
        <w:rPr>
          <w:rFonts w:ascii="Times New Roman" w:hAnsi="Times New Roman" w:cs="Times New Roman"/>
          <w:sz w:val="24"/>
          <w:szCs w:val="24"/>
        </w:rPr>
        <w:t>:</w:t>
      </w:r>
    </w:p>
    <w:p w:rsidR="009725A2"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10.5.1. Приложение №1- Техническое задание;</w:t>
      </w:r>
    </w:p>
    <w:p w:rsidR="009725A2" w:rsidRPr="00634C9E"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10.5.2. Приложение №2- Спецификация.</w:t>
      </w:r>
      <w:r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2"/>
          <w:headerReference w:type="default" r:id="rId13"/>
          <w:foot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8A0821" w:rsidRPr="00634C9E" w:rsidRDefault="00870952" w:rsidP="00093632">
      <w:pPr>
        <w:ind w:left="6521" w:firstLine="6"/>
        <w:jc w:val="right"/>
      </w:pPr>
      <w:r w:rsidRPr="00634C9E">
        <w:tab/>
      </w:r>
      <w:r w:rsidR="00FE032A" w:rsidRPr="00634C9E">
        <w:t xml:space="preserve">Приложение № </w:t>
      </w:r>
      <w:r w:rsidRPr="00634C9E">
        <w:t>2</w:t>
      </w:r>
      <w:r w:rsidR="00FE032A" w:rsidRPr="00634C9E">
        <w:t xml:space="preserve"> </w:t>
      </w:r>
      <w:proofErr w:type="gramStart"/>
      <w:r w:rsidR="00FE032A" w:rsidRPr="00634C9E">
        <w:t>к</w:t>
      </w:r>
      <w:proofErr w:type="gramEnd"/>
    </w:p>
    <w:p w:rsidR="00E63BF2" w:rsidRPr="00634C9E" w:rsidRDefault="008A0821" w:rsidP="00093632">
      <w:pPr>
        <w:ind w:left="6521" w:firstLine="6"/>
        <w:jc w:val="right"/>
      </w:pPr>
      <w:r w:rsidRPr="00634C9E">
        <w:t xml:space="preserve">Муниципальному </w:t>
      </w:r>
      <w:r w:rsidR="009725A2">
        <w:t xml:space="preserve"> </w:t>
      </w:r>
      <w:r w:rsidRPr="00634C9E">
        <w:t>к</w:t>
      </w:r>
      <w:r w:rsidR="00FE032A" w:rsidRPr="00634C9E">
        <w:t xml:space="preserve">онтракту </w:t>
      </w:r>
    </w:p>
    <w:p w:rsidR="004D7F35" w:rsidRPr="00634C9E" w:rsidRDefault="004D7F35" w:rsidP="004D7F35">
      <w:pPr>
        <w:ind w:left="6521" w:firstLine="6"/>
        <w:jc w:val="right"/>
      </w:pPr>
      <w:r>
        <w:rPr>
          <w:b/>
        </w:rPr>
        <w:tab/>
      </w:r>
      <w:r>
        <w:t>о</w:t>
      </w:r>
      <w:r w:rsidRPr="00634C9E">
        <w:t>т</w:t>
      </w:r>
      <w:r>
        <w:t xml:space="preserve"> </w:t>
      </w:r>
      <w:r w:rsidRPr="00634C9E">
        <w:t xml:space="preserve"> «____» ________ 2017г. № ______</w:t>
      </w:r>
    </w:p>
    <w:p w:rsidR="004D7F35" w:rsidRDefault="004D7F35" w:rsidP="004D7F35">
      <w:pPr>
        <w:tabs>
          <w:tab w:val="left" w:pos="13050"/>
        </w:tabs>
        <w:rPr>
          <w:b/>
        </w:rPr>
      </w:pPr>
    </w:p>
    <w:p w:rsidR="004D7F35" w:rsidRPr="00FD1207" w:rsidRDefault="004D7F35" w:rsidP="004D7F35">
      <w:pPr>
        <w:jc w:val="center"/>
        <w:rPr>
          <w:b/>
          <w:vertAlign w:val="superscript"/>
        </w:rPr>
      </w:pPr>
      <w:r>
        <w:rPr>
          <w:b/>
        </w:rPr>
        <w:t xml:space="preserve">Спецификация </w:t>
      </w:r>
    </w:p>
    <w:tbl>
      <w:tblPr>
        <w:tblStyle w:val="aa"/>
        <w:tblpPr w:leftFromText="180" w:rightFromText="180" w:vertAnchor="page" w:horzAnchor="margin" w:tblpY="3196"/>
        <w:tblW w:w="15310" w:type="dxa"/>
        <w:tblLayout w:type="fixed"/>
        <w:tblLook w:val="04A0"/>
      </w:tblPr>
      <w:tblGrid>
        <w:gridCol w:w="568"/>
        <w:gridCol w:w="2693"/>
        <w:gridCol w:w="2835"/>
        <w:gridCol w:w="3685"/>
        <w:gridCol w:w="3261"/>
        <w:gridCol w:w="2268"/>
      </w:tblGrid>
      <w:tr w:rsidR="004D7F35" w:rsidRPr="00FD1207" w:rsidTr="004D7F35">
        <w:trPr>
          <w:trHeight w:val="475"/>
        </w:trPr>
        <w:tc>
          <w:tcPr>
            <w:tcW w:w="568" w:type="dxa"/>
            <w:vMerge w:val="restart"/>
            <w:vAlign w:val="center"/>
          </w:tcPr>
          <w:p w:rsidR="004D7F35" w:rsidRPr="00FD1207" w:rsidRDefault="004D7F35" w:rsidP="004D7F35">
            <w:pPr>
              <w:jc w:val="center"/>
              <w:rPr>
                <w:b/>
                <w:sz w:val="24"/>
                <w:szCs w:val="24"/>
              </w:rPr>
            </w:pPr>
            <w:r w:rsidRPr="00FD1207">
              <w:rPr>
                <w:b/>
                <w:sz w:val="24"/>
                <w:szCs w:val="24"/>
              </w:rPr>
              <w:t xml:space="preserve">№ </w:t>
            </w:r>
            <w:proofErr w:type="spellStart"/>
            <w:proofErr w:type="gramStart"/>
            <w:r w:rsidRPr="00FD1207">
              <w:rPr>
                <w:b/>
                <w:sz w:val="24"/>
                <w:szCs w:val="24"/>
              </w:rPr>
              <w:t>п</w:t>
            </w:r>
            <w:proofErr w:type="spellEnd"/>
            <w:proofErr w:type="gramEnd"/>
            <w:r w:rsidRPr="00FD1207">
              <w:rPr>
                <w:b/>
                <w:sz w:val="24"/>
                <w:szCs w:val="24"/>
              </w:rPr>
              <w:t>/</w:t>
            </w:r>
            <w:proofErr w:type="spellStart"/>
            <w:r w:rsidRPr="00FD1207">
              <w:rPr>
                <w:b/>
                <w:sz w:val="24"/>
                <w:szCs w:val="24"/>
              </w:rPr>
              <w:t>п</w:t>
            </w:r>
            <w:proofErr w:type="spellEnd"/>
          </w:p>
        </w:tc>
        <w:tc>
          <w:tcPr>
            <w:tcW w:w="2693" w:type="dxa"/>
            <w:vMerge w:val="restart"/>
            <w:vAlign w:val="center"/>
          </w:tcPr>
          <w:p w:rsidR="004D7F35" w:rsidRPr="00FD1207" w:rsidRDefault="004D7F35" w:rsidP="004D7F35">
            <w:pPr>
              <w:jc w:val="center"/>
              <w:rPr>
                <w:b/>
                <w:sz w:val="24"/>
                <w:szCs w:val="24"/>
              </w:rPr>
            </w:pPr>
            <w:r w:rsidRPr="00FD1207">
              <w:rPr>
                <w:b/>
                <w:sz w:val="24"/>
                <w:szCs w:val="24"/>
              </w:rPr>
              <w:t>Наименование</w:t>
            </w:r>
            <w:r>
              <w:rPr>
                <w:b/>
                <w:sz w:val="24"/>
                <w:szCs w:val="24"/>
              </w:rPr>
              <w:t xml:space="preserve"> товара </w:t>
            </w:r>
          </w:p>
        </w:tc>
        <w:tc>
          <w:tcPr>
            <w:tcW w:w="2835" w:type="dxa"/>
            <w:vMerge w:val="restart"/>
            <w:vAlign w:val="center"/>
          </w:tcPr>
          <w:p w:rsidR="004D7F35" w:rsidRPr="00FD1207" w:rsidRDefault="004D7F35" w:rsidP="004D7F35">
            <w:pPr>
              <w:jc w:val="center"/>
              <w:rPr>
                <w:b/>
                <w:sz w:val="24"/>
                <w:szCs w:val="24"/>
              </w:rPr>
            </w:pPr>
            <w:r>
              <w:rPr>
                <w:b/>
                <w:sz w:val="24"/>
                <w:szCs w:val="24"/>
              </w:rPr>
              <w:t xml:space="preserve">Наименование </w:t>
            </w:r>
            <w:r w:rsidRPr="00FD1207">
              <w:rPr>
                <w:b/>
                <w:sz w:val="24"/>
                <w:szCs w:val="24"/>
              </w:rPr>
              <w:t>показател</w:t>
            </w:r>
            <w:r>
              <w:rPr>
                <w:b/>
                <w:sz w:val="24"/>
                <w:szCs w:val="24"/>
              </w:rPr>
              <w:t>я товара</w:t>
            </w:r>
          </w:p>
        </w:tc>
        <w:tc>
          <w:tcPr>
            <w:tcW w:w="3685" w:type="dxa"/>
            <w:vMerge w:val="restart"/>
            <w:vAlign w:val="center"/>
          </w:tcPr>
          <w:p w:rsidR="004D7F35" w:rsidRPr="00FD1207" w:rsidRDefault="004D7F35" w:rsidP="004D7F35">
            <w:pPr>
              <w:tabs>
                <w:tab w:val="left" w:pos="1200"/>
              </w:tabs>
              <w:jc w:val="center"/>
              <w:rPr>
                <w:b/>
                <w:sz w:val="24"/>
                <w:szCs w:val="24"/>
              </w:rPr>
            </w:pPr>
            <w:r w:rsidRPr="00656E72">
              <w:rPr>
                <w:b/>
                <w:sz w:val="24"/>
                <w:szCs w:val="24"/>
              </w:rPr>
              <w:t>Конкретные показатели</w:t>
            </w:r>
          </w:p>
        </w:tc>
        <w:tc>
          <w:tcPr>
            <w:tcW w:w="3261" w:type="dxa"/>
            <w:vAlign w:val="center"/>
          </w:tcPr>
          <w:p w:rsidR="004D7F35" w:rsidRPr="00FD1207" w:rsidRDefault="004D7F35" w:rsidP="004D7F35">
            <w:pPr>
              <w:tabs>
                <w:tab w:val="left" w:pos="1200"/>
              </w:tabs>
              <w:jc w:val="center"/>
              <w:rPr>
                <w:b/>
                <w:sz w:val="24"/>
                <w:szCs w:val="24"/>
              </w:rPr>
            </w:pPr>
            <w:r w:rsidRPr="00FD1207">
              <w:rPr>
                <w:b/>
                <w:sz w:val="24"/>
                <w:szCs w:val="24"/>
              </w:rPr>
              <w:t>При наличии</w:t>
            </w:r>
          </w:p>
        </w:tc>
        <w:tc>
          <w:tcPr>
            <w:tcW w:w="2268" w:type="dxa"/>
            <w:vMerge w:val="restart"/>
            <w:vAlign w:val="center"/>
          </w:tcPr>
          <w:p w:rsidR="004D7F35" w:rsidRPr="00FD1207" w:rsidRDefault="004D7F35" w:rsidP="004D7F35">
            <w:pPr>
              <w:ind w:right="-108"/>
              <w:jc w:val="center"/>
              <w:rPr>
                <w:b/>
                <w:sz w:val="24"/>
                <w:szCs w:val="24"/>
              </w:rPr>
            </w:pPr>
            <w:r w:rsidRPr="00FD1207">
              <w:rPr>
                <w:b/>
                <w:sz w:val="24"/>
                <w:szCs w:val="24"/>
              </w:rPr>
              <w:t xml:space="preserve">Наименование </w:t>
            </w:r>
            <w:r w:rsidRPr="00B023C3">
              <w:rPr>
                <w:b/>
                <w:sz w:val="24"/>
                <w:szCs w:val="24"/>
              </w:rPr>
              <w:t>страны происхождения товара</w:t>
            </w:r>
          </w:p>
        </w:tc>
      </w:tr>
      <w:tr w:rsidR="004D7F35" w:rsidRPr="00FD1207" w:rsidTr="004D7F35">
        <w:tc>
          <w:tcPr>
            <w:tcW w:w="568" w:type="dxa"/>
            <w:vMerge/>
          </w:tcPr>
          <w:p w:rsidR="004D7F35" w:rsidRPr="00FD1207" w:rsidRDefault="004D7F35" w:rsidP="004D7F35">
            <w:pPr>
              <w:rPr>
                <w:sz w:val="24"/>
                <w:szCs w:val="24"/>
              </w:rPr>
            </w:pPr>
          </w:p>
        </w:tc>
        <w:tc>
          <w:tcPr>
            <w:tcW w:w="2693" w:type="dxa"/>
            <w:vMerge/>
          </w:tcPr>
          <w:p w:rsidR="004D7F35" w:rsidRPr="00FD1207" w:rsidRDefault="004D7F35" w:rsidP="004D7F35">
            <w:pPr>
              <w:rPr>
                <w:sz w:val="24"/>
                <w:szCs w:val="24"/>
              </w:rPr>
            </w:pPr>
          </w:p>
        </w:tc>
        <w:tc>
          <w:tcPr>
            <w:tcW w:w="2835" w:type="dxa"/>
            <w:vMerge/>
          </w:tcPr>
          <w:p w:rsidR="004D7F35" w:rsidRPr="00FD1207" w:rsidRDefault="004D7F35" w:rsidP="004D7F35">
            <w:pPr>
              <w:rPr>
                <w:sz w:val="24"/>
                <w:szCs w:val="24"/>
              </w:rPr>
            </w:pPr>
          </w:p>
        </w:tc>
        <w:tc>
          <w:tcPr>
            <w:tcW w:w="3685" w:type="dxa"/>
            <w:vMerge/>
          </w:tcPr>
          <w:p w:rsidR="004D7F35" w:rsidRPr="00FD1207" w:rsidRDefault="004D7F35" w:rsidP="004D7F35">
            <w:pPr>
              <w:jc w:val="center"/>
              <w:rPr>
                <w:b/>
                <w:sz w:val="24"/>
                <w:szCs w:val="24"/>
              </w:rPr>
            </w:pPr>
          </w:p>
        </w:tc>
        <w:tc>
          <w:tcPr>
            <w:tcW w:w="3261" w:type="dxa"/>
            <w:vAlign w:val="center"/>
          </w:tcPr>
          <w:p w:rsidR="004D7F35" w:rsidRPr="00FD1207" w:rsidRDefault="004D7F35" w:rsidP="004D7F35">
            <w:pPr>
              <w:jc w:val="center"/>
              <w:rPr>
                <w:b/>
                <w:sz w:val="24"/>
                <w:szCs w:val="24"/>
              </w:rPr>
            </w:pPr>
            <w:r w:rsidRPr="00FD1207">
              <w:rPr>
                <w:b/>
                <w:sz w:val="24"/>
                <w:szCs w:val="24"/>
              </w:rPr>
              <w:t>Товарный знак (его словесное обозначение)</w:t>
            </w:r>
            <w:r>
              <w:rPr>
                <w:b/>
                <w:sz w:val="24"/>
                <w:szCs w:val="24"/>
              </w:rPr>
              <w:t>,</w:t>
            </w:r>
            <w:r w:rsidRPr="00FD1207">
              <w:rPr>
                <w:b/>
                <w:sz w:val="24"/>
                <w:szCs w:val="24"/>
              </w:rPr>
              <w:t xml:space="preserve"> знак обслуживания</w:t>
            </w:r>
            <w:r>
              <w:rPr>
                <w:b/>
                <w:sz w:val="24"/>
                <w:szCs w:val="24"/>
              </w:rPr>
              <w:t>,</w:t>
            </w:r>
            <w:r w:rsidRPr="00FD1207">
              <w:rPr>
                <w:b/>
                <w:sz w:val="24"/>
                <w:szCs w:val="24"/>
              </w:rPr>
              <w:t xml:space="preserve"> фирменное наименование</w:t>
            </w:r>
            <w:r>
              <w:rPr>
                <w:b/>
                <w:sz w:val="24"/>
                <w:szCs w:val="24"/>
              </w:rPr>
              <w:t>,</w:t>
            </w:r>
            <w:r w:rsidRPr="00FD1207">
              <w:rPr>
                <w:b/>
                <w:sz w:val="24"/>
                <w:szCs w:val="24"/>
              </w:rPr>
              <w:t xml:space="preserve"> патенты</w:t>
            </w:r>
            <w:r>
              <w:rPr>
                <w:b/>
                <w:sz w:val="24"/>
                <w:szCs w:val="24"/>
              </w:rPr>
              <w:t>,</w:t>
            </w:r>
            <w:r w:rsidRPr="00FD1207">
              <w:rPr>
                <w:b/>
                <w:sz w:val="24"/>
                <w:szCs w:val="24"/>
              </w:rPr>
              <w:t xml:space="preserve"> полезные модели</w:t>
            </w:r>
            <w:r>
              <w:rPr>
                <w:b/>
                <w:sz w:val="24"/>
                <w:szCs w:val="24"/>
              </w:rPr>
              <w:t>,</w:t>
            </w:r>
            <w:r w:rsidRPr="00FD1207">
              <w:rPr>
                <w:b/>
                <w:sz w:val="24"/>
                <w:szCs w:val="24"/>
              </w:rPr>
              <w:t xml:space="preserve"> промышленные образцы</w:t>
            </w:r>
          </w:p>
        </w:tc>
        <w:tc>
          <w:tcPr>
            <w:tcW w:w="2268" w:type="dxa"/>
            <w:vMerge/>
          </w:tcPr>
          <w:p w:rsidR="004D7F35" w:rsidRPr="00FD1207" w:rsidRDefault="004D7F35" w:rsidP="004D7F35">
            <w:pPr>
              <w:rPr>
                <w:sz w:val="24"/>
                <w:szCs w:val="24"/>
              </w:rPr>
            </w:pPr>
          </w:p>
        </w:tc>
      </w:tr>
      <w:tr w:rsidR="004D7F35" w:rsidRPr="00FD1207" w:rsidTr="004D7F35">
        <w:tc>
          <w:tcPr>
            <w:tcW w:w="568" w:type="dxa"/>
          </w:tcPr>
          <w:p w:rsidR="004D7F35" w:rsidRPr="00FD1207" w:rsidRDefault="004D7F35" w:rsidP="004D7F35">
            <w:pPr>
              <w:rPr>
                <w:sz w:val="24"/>
                <w:szCs w:val="24"/>
              </w:rPr>
            </w:pPr>
          </w:p>
        </w:tc>
        <w:tc>
          <w:tcPr>
            <w:tcW w:w="2693" w:type="dxa"/>
            <w:vAlign w:val="center"/>
          </w:tcPr>
          <w:p w:rsidR="004D7F35" w:rsidRPr="00ED3D0F" w:rsidRDefault="004D7F35" w:rsidP="004D7F35">
            <w:pPr>
              <w:jc w:val="center"/>
              <w:rPr>
                <w:szCs w:val="28"/>
                <w:lang w:eastAsia="ru-RU"/>
              </w:rPr>
            </w:pPr>
            <w:r w:rsidRPr="00ED3D0F">
              <w:rPr>
                <w:color w:val="C00000"/>
                <w:szCs w:val="28"/>
              </w:rPr>
              <w:t>[заполняется обязательно]</w:t>
            </w:r>
          </w:p>
        </w:tc>
        <w:tc>
          <w:tcPr>
            <w:tcW w:w="2835" w:type="dxa"/>
            <w:vAlign w:val="center"/>
          </w:tcPr>
          <w:p w:rsidR="004D7F35" w:rsidRPr="00ED3D0F" w:rsidRDefault="004D7F35" w:rsidP="004D7F35">
            <w:pPr>
              <w:jc w:val="center"/>
              <w:rPr>
                <w:szCs w:val="28"/>
                <w:lang w:eastAsia="ru-RU"/>
              </w:rPr>
            </w:pPr>
            <w:r w:rsidRPr="00ED3D0F">
              <w:rPr>
                <w:color w:val="C00000"/>
                <w:szCs w:val="28"/>
              </w:rPr>
              <w:t>[заполняется обязательно]</w:t>
            </w:r>
          </w:p>
        </w:tc>
        <w:tc>
          <w:tcPr>
            <w:tcW w:w="3685" w:type="dxa"/>
            <w:vAlign w:val="center"/>
          </w:tcPr>
          <w:p w:rsidR="004D7F35" w:rsidRPr="00ED3D0F" w:rsidRDefault="004D7F35" w:rsidP="004D7F35">
            <w:pPr>
              <w:jc w:val="center"/>
              <w:rPr>
                <w:szCs w:val="28"/>
                <w:lang w:eastAsia="ru-RU"/>
              </w:rPr>
            </w:pPr>
            <w:r w:rsidRPr="00ED3D0F">
              <w:rPr>
                <w:color w:val="C00000"/>
                <w:szCs w:val="28"/>
              </w:rPr>
              <w:t>[заполняется обязательно]</w:t>
            </w:r>
          </w:p>
        </w:tc>
        <w:tc>
          <w:tcPr>
            <w:tcW w:w="3261" w:type="dxa"/>
            <w:vAlign w:val="center"/>
          </w:tcPr>
          <w:p w:rsidR="004D7F35" w:rsidRPr="00FD1207" w:rsidRDefault="004D7F35" w:rsidP="004D7F35">
            <w:pPr>
              <w:jc w:val="center"/>
              <w:rPr>
                <w:sz w:val="24"/>
                <w:szCs w:val="24"/>
              </w:rPr>
            </w:pPr>
            <w:r w:rsidRPr="00ED3D0F">
              <w:rPr>
                <w:color w:val="008000"/>
                <w:szCs w:val="28"/>
              </w:rPr>
              <w:t>[заполняется при наличии]</w:t>
            </w:r>
          </w:p>
        </w:tc>
        <w:tc>
          <w:tcPr>
            <w:tcW w:w="2268" w:type="dxa"/>
            <w:vAlign w:val="center"/>
          </w:tcPr>
          <w:p w:rsidR="004D7F35" w:rsidRPr="00ED3D0F" w:rsidRDefault="004D7F35" w:rsidP="004D7F35">
            <w:pPr>
              <w:jc w:val="center"/>
              <w:rPr>
                <w:szCs w:val="28"/>
                <w:lang w:eastAsia="ru-RU"/>
              </w:rPr>
            </w:pPr>
            <w:r w:rsidRPr="00ED3D0F">
              <w:rPr>
                <w:color w:val="C00000"/>
                <w:szCs w:val="28"/>
              </w:rPr>
              <w:t>[заполняется обязательно]</w:t>
            </w:r>
          </w:p>
        </w:tc>
      </w:tr>
      <w:tr w:rsidR="004D7F35" w:rsidRPr="00FD1207" w:rsidTr="004D7F35">
        <w:tc>
          <w:tcPr>
            <w:tcW w:w="568" w:type="dxa"/>
          </w:tcPr>
          <w:p w:rsidR="004D7F35" w:rsidRPr="00FD1207" w:rsidRDefault="004D7F35" w:rsidP="004D7F35">
            <w:pPr>
              <w:rPr>
                <w:sz w:val="24"/>
                <w:szCs w:val="24"/>
              </w:rPr>
            </w:pPr>
          </w:p>
        </w:tc>
        <w:tc>
          <w:tcPr>
            <w:tcW w:w="2693" w:type="dxa"/>
          </w:tcPr>
          <w:p w:rsidR="004D7F35" w:rsidRPr="00FD1207" w:rsidRDefault="004D7F35" w:rsidP="004D7F35">
            <w:pPr>
              <w:rPr>
                <w:sz w:val="24"/>
                <w:szCs w:val="24"/>
              </w:rPr>
            </w:pPr>
          </w:p>
        </w:tc>
        <w:tc>
          <w:tcPr>
            <w:tcW w:w="2835" w:type="dxa"/>
          </w:tcPr>
          <w:p w:rsidR="004D7F35" w:rsidRPr="00FD1207" w:rsidRDefault="004D7F35" w:rsidP="004D7F35">
            <w:pPr>
              <w:rPr>
                <w:sz w:val="24"/>
                <w:szCs w:val="24"/>
              </w:rPr>
            </w:pPr>
          </w:p>
        </w:tc>
        <w:tc>
          <w:tcPr>
            <w:tcW w:w="3685" w:type="dxa"/>
          </w:tcPr>
          <w:p w:rsidR="004D7F35" w:rsidRPr="00FD1207" w:rsidRDefault="004D7F35" w:rsidP="004D7F35">
            <w:pPr>
              <w:rPr>
                <w:sz w:val="24"/>
                <w:szCs w:val="24"/>
              </w:rPr>
            </w:pPr>
          </w:p>
        </w:tc>
        <w:tc>
          <w:tcPr>
            <w:tcW w:w="3261" w:type="dxa"/>
          </w:tcPr>
          <w:p w:rsidR="004D7F35" w:rsidRPr="00FD1207" w:rsidRDefault="004D7F35" w:rsidP="004D7F35">
            <w:pPr>
              <w:rPr>
                <w:sz w:val="24"/>
                <w:szCs w:val="24"/>
              </w:rPr>
            </w:pPr>
          </w:p>
        </w:tc>
        <w:tc>
          <w:tcPr>
            <w:tcW w:w="2268" w:type="dxa"/>
          </w:tcPr>
          <w:p w:rsidR="004D7F35" w:rsidRPr="00FD1207" w:rsidRDefault="004D7F35" w:rsidP="004D7F35">
            <w:pPr>
              <w:rPr>
                <w:sz w:val="24"/>
                <w:szCs w:val="24"/>
              </w:rPr>
            </w:pPr>
          </w:p>
        </w:tc>
      </w:tr>
      <w:tr w:rsidR="004D7F35" w:rsidRPr="00FD1207" w:rsidTr="004D7F35">
        <w:tc>
          <w:tcPr>
            <w:tcW w:w="568" w:type="dxa"/>
          </w:tcPr>
          <w:p w:rsidR="004D7F35" w:rsidRPr="00FD1207" w:rsidRDefault="004D7F35" w:rsidP="004D7F35">
            <w:pPr>
              <w:rPr>
                <w:sz w:val="24"/>
                <w:szCs w:val="24"/>
              </w:rPr>
            </w:pPr>
          </w:p>
        </w:tc>
        <w:tc>
          <w:tcPr>
            <w:tcW w:w="2693" w:type="dxa"/>
          </w:tcPr>
          <w:p w:rsidR="004D7F35" w:rsidRPr="00FD1207" w:rsidRDefault="004D7F35" w:rsidP="004D7F35">
            <w:pPr>
              <w:rPr>
                <w:sz w:val="24"/>
                <w:szCs w:val="24"/>
              </w:rPr>
            </w:pPr>
          </w:p>
        </w:tc>
        <w:tc>
          <w:tcPr>
            <w:tcW w:w="2835" w:type="dxa"/>
          </w:tcPr>
          <w:p w:rsidR="004D7F35" w:rsidRPr="00FD1207" w:rsidRDefault="004D7F35" w:rsidP="004D7F35">
            <w:pPr>
              <w:rPr>
                <w:sz w:val="24"/>
                <w:szCs w:val="24"/>
              </w:rPr>
            </w:pPr>
          </w:p>
        </w:tc>
        <w:tc>
          <w:tcPr>
            <w:tcW w:w="3685" w:type="dxa"/>
          </w:tcPr>
          <w:p w:rsidR="004D7F35" w:rsidRPr="00FD1207" w:rsidRDefault="004D7F35" w:rsidP="004D7F35">
            <w:pPr>
              <w:rPr>
                <w:sz w:val="24"/>
                <w:szCs w:val="24"/>
              </w:rPr>
            </w:pPr>
          </w:p>
        </w:tc>
        <w:tc>
          <w:tcPr>
            <w:tcW w:w="3261" w:type="dxa"/>
          </w:tcPr>
          <w:p w:rsidR="004D7F35" w:rsidRPr="00FD1207" w:rsidRDefault="004D7F35" w:rsidP="004D7F35">
            <w:pPr>
              <w:rPr>
                <w:sz w:val="24"/>
                <w:szCs w:val="24"/>
              </w:rPr>
            </w:pPr>
          </w:p>
        </w:tc>
        <w:tc>
          <w:tcPr>
            <w:tcW w:w="2268" w:type="dxa"/>
          </w:tcPr>
          <w:p w:rsidR="004D7F35" w:rsidRPr="00FD1207" w:rsidRDefault="004D7F35" w:rsidP="004D7F35">
            <w:pPr>
              <w:rPr>
                <w:sz w:val="24"/>
                <w:szCs w:val="24"/>
              </w:rPr>
            </w:pPr>
          </w:p>
        </w:tc>
      </w:tr>
      <w:tr w:rsidR="004D7F35" w:rsidRPr="00FD1207" w:rsidTr="004D7F35">
        <w:tc>
          <w:tcPr>
            <w:tcW w:w="568" w:type="dxa"/>
          </w:tcPr>
          <w:p w:rsidR="004D7F35" w:rsidRPr="00FD1207" w:rsidRDefault="004D7F35" w:rsidP="004D7F35">
            <w:pPr>
              <w:rPr>
                <w:sz w:val="24"/>
                <w:szCs w:val="24"/>
              </w:rPr>
            </w:pPr>
          </w:p>
        </w:tc>
        <w:tc>
          <w:tcPr>
            <w:tcW w:w="2693" w:type="dxa"/>
          </w:tcPr>
          <w:p w:rsidR="004D7F35" w:rsidRPr="00FD1207" w:rsidRDefault="004D7F35" w:rsidP="004D7F35">
            <w:pPr>
              <w:rPr>
                <w:sz w:val="24"/>
                <w:szCs w:val="24"/>
              </w:rPr>
            </w:pPr>
          </w:p>
        </w:tc>
        <w:tc>
          <w:tcPr>
            <w:tcW w:w="2835" w:type="dxa"/>
          </w:tcPr>
          <w:p w:rsidR="004D7F35" w:rsidRPr="00FD1207" w:rsidRDefault="004D7F35" w:rsidP="004D7F35">
            <w:pPr>
              <w:rPr>
                <w:sz w:val="24"/>
                <w:szCs w:val="24"/>
              </w:rPr>
            </w:pPr>
          </w:p>
        </w:tc>
        <w:tc>
          <w:tcPr>
            <w:tcW w:w="3685" w:type="dxa"/>
          </w:tcPr>
          <w:p w:rsidR="004D7F35" w:rsidRPr="00FD1207" w:rsidRDefault="004D7F35" w:rsidP="004D7F35">
            <w:pPr>
              <w:rPr>
                <w:sz w:val="24"/>
                <w:szCs w:val="24"/>
              </w:rPr>
            </w:pPr>
          </w:p>
        </w:tc>
        <w:tc>
          <w:tcPr>
            <w:tcW w:w="3261" w:type="dxa"/>
          </w:tcPr>
          <w:p w:rsidR="004D7F35" w:rsidRPr="00FD1207" w:rsidRDefault="004D7F35" w:rsidP="004D7F35">
            <w:pPr>
              <w:rPr>
                <w:sz w:val="24"/>
                <w:szCs w:val="24"/>
              </w:rPr>
            </w:pPr>
          </w:p>
        </w:tc>
        <w:tc>
          <w:tcPr>
            <w:tcW w:w="2268" w:type="dxa"/>
          </w:tcPr>
          <w:p w:rsidR="004D7F35" w:rsidRPr="00FD1207" w:rsidRDefault="004D7F35" w:rsidP="004D7F35">
            <w:pPr>
              <w:rPr>
                <w:sz w:val="24"/>
                <w:szCs w:val="24"/>
              </w:rPr>
            </w:pPr>
          </w:p>
        </w:tc>
      </w:tr>
      <w:tr w:rsidR="004D7F35" w:rsidRPr="00FD1207" w:rsidTr="004D7F35">
        <w:tc>
          <w:tcPr>
            <w:tcW w:w="568" w:type="dxa"/>
          </w:tcPr>
          <w:p w:rsidR="004D7F35" w:rsidRPr="00FD1207" w:rsidRDefault="004D7F35" w:rsidP="004D7F35">
            <w:pPr>
              <w:rPr>
                <w:sz w:val="24"/>
                <w:szCs w:val="24"/>
              </w:rPr>
            </w:pPr>
          </w:p>
        </w:tc>
        <w:tc>
          <w:tcPr>
            <w:tcW w:w="2693" w:type="dxa"/>
          </w:tcPr>
          <w:p w:rsidR="004D7F35" w:rsidRPr="00FD1207" w:rsidRDefault="004D7F35" w:rsidP="004D7F35">
            <w:pPr>
              <w:rPr>
                <w:sz w:val="24"/>
                <w:szCs w:val="24"/>
              </w:rPr>
            </w:pPr>
          </w:p>
        </w:tc>
        <w:tc>
          <w:tcPr>
            <w:tcW w:w="2835" w:type="dxa"/>
          </w:tcPr>
          <w:p w:rsidR="004D7F35" w:rsidRPr="00FD1207" w:rsidRDefault="004D7F35" w:rsidP="004D7F35">
            <w:pPr>
              <w:rPr>
                <w:sz w:val="24"/>
                <w:szCs w:val="24"/>
              </w:rPr>
            </w:pPr>
          </w:p>
        </w:tc>
        <w:tc>
          <w:tcPr>
            <w:tcW w:w="3685" w:type="dxa"/>
          </w:tcPr>
          <w:p w:rsidR="004D7F35" w:rsidRPr="00FD1207" w:rsidRDefault="004D7F35" w:rsidP="004D7F35">
            <w:pPr>
              <w:rPr>
                <w:sz w:val="24"/>
                <w:szCs w:val="24"/>
              </w:rPr>
            </w:pPr>
          </w:p>
        </w:tc>
        <w:tc>
          <w:tcPr>
            <w:tcW w:w="3261" w:type="dxa"/>
          </w:tcPr>
          <w:p w:rsidR="004D7F35" w:rsidRPr="00FD1207" w:rsidRDefault="004D7F35" w:rsidP="004D7F35">
            <w:pPr>
              <w:rPr>
                <w:sz w:val="24"/>
                <w:szCs w:val="24"/>
              </w:rPr>
            </w:pPr>
          </w:p>
        </w:tc>
        <w:tc>
          <w:tcPr>
            <w:tcW w:w="2268" w:type="dxa"/>
          </w:tcPr>
          <w:p w:rsidR="004D7F35" w:rsidRPr="00FD1207" w:rsidRDefault="004D7F35" w:rsidP="004D7F35">
            <w:pPr>
              <w:rPr>
                <w:sz w:val="24"/>
                <w:szCs w:val="24"/>
              </w:rPr>
            </w:pPr>
          </w:p>
        </w:tc>
      </w:tr>
      <w:tr w:rsidR="004D7F35" w:rsidRPr="00FD1207" w:rsidTr="004D7F35">
        <w:tc>
          <w:tcPr>
            <w:tcW w:w="568" w:type="dxa"/>
          </w:tcPr>
          <w:p w:rsidR="004D7F35" w:rsidRPr="00FD1207" w:rsidRDefault="004D7F35" w:rsidP="004D7F35">
            <w:pPr>
              <w:rPr>
                <w:sz w:val="24"/>
                <w:szCs w:val="24"/>
              </w:rPr>
            </w:pPr>
          </w:p>
        </w:tc>
        <w:tc>
          <w:tcPr>
            <w:tcW w:w="2693" w:type="dxa"/>
          </w:tcPr>
          <w:p w:rsidR="004D7F35" w:rsidRPr="00FD1207" w:rsidRDefault="004D7F35" w:rsidP="004D7F35">
            <w:pPr>
              <w:rPr>
                <w:sz w:val="24"/>
                <w:szCs w:val="24"/>
              </w:rPr>
            </w:pPr>
          </w:p>
        </w:tc>
        <w:tc>
          <w:tcPr>
            <w:tcW w:w="2835" w:type="dxa"/>
          </w:tcPr>
          <w:p w:rsidR="004D7F35" w:rsidRPr="00FD1207" w:rsidRDefault="004D7F35" w:rsidP="004D7F35">
            <w:pPr>
              <w:rPr>
                <w:sz w:val="24"/>
                <w:szCs w:val="24"/>
              </w:rPr>
            </w:pPr>
          </w:p>
        </w:tc>
        <w:tc>
          <w:tcPr>
            <w:tcW w:w="3685" w:type="dxa"/>
          </w:tcPr>
          <w:p w:rsidR="004D7F35" w:rsidRPr="00FD1207" w:rsidRDefault="004D7F35" w:rsidP="004D7F35">
            <w:pPr>
              <w:rPr>
                <w:sz w:val="24"/>
                <w:szCs w:val="24"/>
              </w:rPr>
            </w:pPr>
          </w:p>
        </w:tc>
        <w:tc>
          <w:tcPr>
            <w:tcW w:w="3261" w:type="dxa"/>
          </w:tcPr>
          <w:p w:rsidR="004D7F35" w:rsidRPr="00FD1207" w:rsidRDefault="004D7F35" w:rsidP="004D7F35">
            <w:pPr>
              <w:rPr>
                <w:sz w:val="24"/>
                <w:szCs w:val="24"/>
              </w:rPr>
            </w:pPr>
          </w:p>
        </w:tc>
        <w:tc>
          <w:tcPr>
            <w:tcW w:w="2268" w:type="dxa"/>
          </w:tcPr>
          <w:p w:rsidR="004D7F35" w:rsidRPr="00FD1207" w:rsidRDefault="004D7F35" w:rsidP="004D7F35">
            <w:pPr>
              <w:rPr>
                <w:sz w:val="24"/>
                <w:szCs w:val="24"/>
              </w:rPr>
            </w:pPr>
          </w:p>
        </w:tc>
      </w:tr>
    </w:tbl>
    <w:p w:rsidR="004D7F35" w:rsidRDefault="004D7F35" w:rsidP="004D7F35"/>
    <w:p w:rsidR="004D7F35" w:rsidRPr="004D7F35" w:rsidRDefault="004D7F35" w:rsidP="004D7F35"/>
    <w:p w:rsidR="004D7F35" w:rsidRPr="004D7F35" w:rsidRDefault="004D7F35" w:rsidP="004D7F35"/>
    <w:p w:rsidR="004D7F35" w:rsidRPr="004D7F35" w:rsidRDefault="004D7F35" w:rsidP="004D7F35"/>
    <w:p w:rsidR="004D7F35" w:rsidRPr="004D7F35" w:rsidRDefault="004D7F35" w:rsidP="004D7F35"/>
    <w:p w:rsidR="004D7F35" w:rsidRPr="004D7F35" w:rsidRDefault="004D7F35" w:rsidP="004D7F35"/>
    <w:p w:rsidR="004D7F35" w:rsidRPr="004D7F35" w:rsidRDefault="004D7F35" w:rsidP="004D7F35"/>
    <w:p w:rsidR="004D7F35" w:rsidRPr="004D7F35" w:rsidRDefault="004D7F35" w:rsidP="004D7F35">
      <w:pPr>
        <w:tabs>
          <w:tab w:val="left" w:pos="1290"/>
          <w:tab w:val="left" w:pos="9600"/>
        </w:tabs>
        <w:rPr>
          <w:b/>
          <w:sz w:val="32"/>
          <w:szCs w:val="32"/>
        </w:rPr>
      </w:pPr>
      <w:r>
        <w:tab/>
      </w:r>
      <w:r w:rsidRPr="004D7F35">
        <w:rPr>
          <w:b/>
          <w:sz w:val="32"/>
          <w:szCs w:val="32"/>
        </w:rPr>
        <w:t>Поставщик:</w:t>
      </w:r>
      <w:r w:rsidRPr="004D7F35">
        <w:rPr>
          <w:b/>
          <w:sz w:val="32"/>
          <w:szCs w:val="32"/>
        </w:rPr>
        <w:tab/>
        <w:t>Заказчик:</w:t>
      </w:r>
    </w:p>
    <w:p w:rsidR="004D7F35" w:rsidRPr="004D7F35" w:rsidRDefault="004D7F35" w:rsidP="004D7F35"/>
    <w:p w:rsidR="004D7F35" w:rsidRPr="004D7F35" w:rsidRDefault="004D7F35" w:rsidP="004D7F35"/>
    <w:p w:rsidR="004D7F35" w:rsidRPr="004D7F35" w:rsidRDefault="004D7F35" w:rsidP="004D7F35">
      <w:r>
        <w:t xml:space="preserve">         ______________________/Ф.И.О./                                                                    </w:t>
      </w:r>
      <w:r>
        <w:tab/>
        <w:t xml:space="preserve">             ______________________/Ф.И.О./</w:t>
      </w:r>
    </w:p>
    <w:p w:rsidR="004D7F35" w:rsidRPr="004D7F35" w:rsidRDefault="004D7F35" w:rsidP="004D7F35"/>
    <w:p w:rsidR="004D7F35" w:rsidRPr="004D7F35" w:rsidRDefault="004D7F35" w:rsidP="004D7F35">
      <w:pPr>
        <w:tabs>
          <w:tab w:val="left" w:pos="9270"/>
        </w:tabs>
      </w:pPr>
    </w:p>
    <w:p w:rsidR="004D7F35" w:rsidRPr="004D7F35" w:rsidRDefault="004D7F35" w:rsidP="004D7F35">
      <w:pPr>
        <w:tabs>
          <w:tab w:val="left" w:pos="9270"/>
        </w:tabs>
      </w:pPr>
      <w:r>
        <w:t xml:space="preserve">        «____» _____________ 2017г.</w:t>
      </w:r>
      <w:r>
        <w:tab/>
        <w:t>«____» _____________ 2017г.</w:t>
      </w:r>
    </w:p>
    <w:sectPr w:rsidR="004D7F35" w:rsidRPr="004D7F35"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57" w:rsidRDefault="00E40457">
      <w:r>
        <w:separator/>
      </w:r>
    </w:p>
  </w:endnote>
  <w:endnote w:type="continuationSeparator" w:id="0">
    <w:p w:rsidR="00E40457" w:rsidRDefault="00E40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57" w:rsidRDefault="00E4045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57" w:rsidRPr="00031D8D" w:rsidRDefault="00E40457"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57" w:rsidRDefault="00E40457">
      <w:r>
        <w:separator/>
      </w:r>
    </w:p>
  </w:footnote>
  <w:footnote w:type="continuationSeparator" w:id="0">
    <w:p w:rsidR="00E40457" w:rsidRDefault="00E40457">
      <w:r>
        <w:continuationSeparator/>
      </w:r>
    </w:p>
  </w:footnote>
  <w:footnote w:id="1">
    <w:p w:rsidR="00E40457" w:rsidRDefault="00E40457" w:rsidP="009D17C1">
      <w:pPr>
        <w:pStyle w:val="af"/>
      </w:pPr>
      <w:r>
        <w:rPr>
          <w:rStyle w:val="af1"/>
        </w:rPr>
        <w:footnoteRef/>
      </w:r>
      <w:r>
        <w:t xml:space="preserve"> 10 % цены Контракта в случае, если цена Контракта не превышает 3 млн. рублей;</w:t>
      </w:r>
    </w:p>
    <w:p w:rsidR="00E40457" w:rsidRDefault="00E40457" w:rsidP="009D17C1">
      <w:pPr>
        <w:pStyle w:val="af"/>
      </w:pPr>
      <w:r>
        <w:t xml:space="preserve">  5 % цены Контракта в случае, если цена Контракта составляет от 3 млн. рублей до 50  млн. рублей.</w:t>
      </w:r>
    </w:p>
  </w:footnote>
  <w:footnote w:id="2">
    <w:p w:rsidR="00E40457" w:rsidRDefault="00E40457" w:rsidP="009D17C1">
      <w:pPr>
        <w:pStyle w:val="af"/>
      </w:pPr>
      <w:r>
        <w:rPr>
          <w:rStyle w:val="af1"/>
        </w:rPr>
        <w:footnoteRef/>
      </w:r>
      <w:r>
        <w:t xml:space="preserve"> 2,5 % цены Контракта в случае, если цена Контракта не превышает 3 млн. рублей;</w:t>
      </w:r>
    </w:p>
    <w:p w:rsidR="00E40457" w:rsidRDefault="00E40457"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57" w:rsidRDefault="00AA7D31" w:rsidP="00131DAA">
    <w:pPr>
      <w:pStyle w:val="a3"/>
      <w:framePr w:wrap="around" w:vAnchor="text" w:hAnchor="margin" w:xAlign="right" w:y="1"/>
      <w:rPr>
        <w:rStyle w:val="a5"/>
      </w:rPr>
    </w:pPr>
    <w:r>
      <w:rPr>
        <w:rStyle w:val="a5"/>
      </w:rPr>
      <w:fldChar w:fldCharType="begin"/>
    </w:r>
    <w:r w:rsidR="00E40457">
      <w:rPr>
        <w:rStyle w:val="a5"/>
      </w:rPr>
      <w:instrText xml:space="preserve">PAGE  </w:instrText>
    </w:r>
    <w:r>
      <w:rPr>
        <w:rStyle w:val="a5"/>
      </w:rPr>
      <w:fldChar w:fldCharType="end"/>
    </w:r>
  </w:p>
  <w:p w:rsidR="00E40457" w:rsidRDefault="00E40457"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57" w:rsidRDefault="00E40457" w:rsidP="00131DAA">
    <w:pPr>
      <w:pStyle w:val="a3"/>
      <w:framePr w:wrap="around" w:vAnchor="text" w:hAnchor="margin" w:xAlign="right" w:y="1"/>
      <w:rPr>
        <w:rStyle w:val="a5"/>
      </w:rPr>
    </w:pPr>
  </w:p>
  <w:p w:rsidR="00E40457" w:rsidRDefault="00E40457"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6">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1"/>
  </w:num>
  <w:num w:numId="7">
    <w:abstractNumId w:val="16"/>
  </w:num>
  <w:num w:numId="8">
    <w:abstractNumId w:val="14"/>
  </w:num>
  <w:num w:numId="9">
    <w:abstractNumId w:val="11"/>
  </w:num>
  <w:num w:numId="10">
    <w:abstractNumId w:val="18"/>
  </w:num>
  <w:num w:numId="11">
    <w:abstractNumId w:val="3"/>
  </w:num>
  <w:num w:numId="12">
    <w:abstractNumId w:val="1"/>
  </w:num>
  <w:num w:numId="13">
    <w:abstractNumId w:val="10"/>
  </w:num>
  <w:num w:numId="14">
    <w:abstractNumId w:val="17"/>
  </w:num>
  <w:num w:numId="15">
    <w:abstractNumId w:val="4"/>
  </w:num>
  <w:num w:numId="16">
    <w:abstractNumId w:val="5"/>
  </w:num>
  <w:num w:numId="17">
    <w:abstractNumId w:val="6"/>
  </w:num>
  <w:num w:numId="18">
    <w:abstractNumId w:val="19"/>
  </w:num>
  <w:num w:numId="19">
    <w:abstractNumId w:val="20"/>
  </w:num>
  <w:num w:numId="20">
    <w:abstractNumId w:val="22"/>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60040"/>
    <w:rsid w:val="0006162F"/>
    <w:rsid w:val="00063FA3"/>
    <w:rsid w:val="00071931"/>
    <w:rsid w:val="0007653C"/>
    <w:rsid w:val="00082921"/>
    <w:rsid w:val="00093632"/>
    <w:rsid w:val="00094F00"/>
    <w:rsid w:val="000B2E5E"/>
    <w:rsid w:val="000F20FC"/>
    <w:rsid w:val="000F6587"/>
    <w:rsid w:val="00101F05"/>
    <w:rsid w:val="00103DF8"/>
    <w:rsid w:val="001126B5"/>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00E0"/>
    <w:rsid w:val="002359FF"/>
    <w:rsid w:val="002530B3"/>
    <w:rsid w:val="0026279F"/>
    <w:rsid w:val="002709CC"/>
    <w:rsid w:val="00270E5A"/>
    <w:rsid w:val="00272109"/>
    <w:rsid w:val="00273801"/>
    <w:rsid w:val="002A2FD6"/>
    <w:rsid w:val="002C7277"/>
    <w:rsid w:val="002D6543"/>
    <w:rsid w:val="002E6225"/>
    <w:rsid w:val="002F0750"/>
    <w:rsid w:val="002F29CD"/>
    <w:rsid w:val="002F6575"/>
    <w:rsid w:val="00317C73"/>
    <w:rsid w:val="00324320"/>
    <w:rsid w:val="0034257F"/>
    <w:rsid w:val="00354BEE"/>
    <w:rsid w:val="00354DFB"/>
    <w:rsid w:val="00360D46"/>
    <w:rsid w:val="003649A2"/>
    <w:rsid w:val="0037694F"/>
    <w:rsid w:val="003836F6"/>
    <w:rsid w:val="00387E04"/>
    <w:rsid w:val="003A0A34"/>
    <w:rsid w:val="003B728B"/>
    <w:rsid w:val="003C6C8D"/>
    <w:rsid w:val="003F3CDF"/>
    <w:rsid w:val="00401A94"/>
    <w:rsid w:val="00420F60"/>
    <w:rsid w:val="00422BB7"/>
    <w:rsid w:val="0042424B"/>
    <w:rsid w:val="00425575"/>
    <w:rsid w:val="0043153F"/>
    <w:rsid w:val="004332F2"/>
    <w:rsid w:val="0044547F"/>
    <w:rsid w:val="0044703C"/>
    <w:rsid w:val="00447D8B"/>
    <w:rsid w:val="00452464"/>
    <w:rsid w:val="00472562"/>
    <w:rsid w:val="004732A8"/>
    <w:rsid w:val="00493C81"/>
    <w:rsid w:val="004A245B"/>
    <w:rsid w:val="004A5E07"/>
    <w:rsid w:val="004C4D36"/>
    <w:rsid w:val="004C73F7"/>
    <w:rsid w:val="004D1C68"/>
    <w:rsid w:val="004D725A"/>
    <w:rsid w:val="004D7F35"/>
    <w:rsid w:val="004E0953"/>
    <w:rsid w:val="004F1759"/>
    <w:rsid w:val="005259D4"/>
    <w:rsid w:val="005308CD"/>
    <w:rsid w:val="0053277D"/>
    <w:rsid w:val="005330EC"/>
    <w:rsid w:val="00535B11"/>
    <w:rsid w:val="005429D9"/>
    <w:rsid w:val="00543780"/>
    <w:rsid w:val="00552765"/>
    <w:rsid w:val="00554A2F"/>
    <w:rsid w:val="00586A8A"/>
    <w:rsid w:val="00594DB8"/>
    <w:rsid w:val="005A6CAC"/>
    <w:rsid w:val="005B212D"/>
    <w:rsid w:val="005D4919"/>
    <w:rsid w:val="005D554D"/>
    <w:rsid w:val="005E2FDD"/>
    <w:rsid w:val="005F7451"/>
    <w:rsid w:val="005F7650"/>
    <w:rsid w:val="006158A1"/>
    <w:rsid w:val="00634C9E"/>
    <w:rsid w:val="00653081"/>
    <w:rsid w:val="00655DBC"/>
    <w:rsid w:val="00657A37"/>
    <w:rsid w:val="00665018"/>
    <w:rsid w:val="00671853"/>
    <w:rsid w:val="00682BF7"/>
    <w:rsid w:val="00684D87"/>
    <w:rsid w:val="00697BB5"/>
    <w:rsid w:val="006B138B"/>
    <w:rsid w:val="006E5AA9"/>
    <w:rsid w:val="006E68E7"/>
    <w:rsid w:val="006E6DA3"/>
    <w:rsid w:val="006F6EAD"/>
    <w:rsid w:val="00716874"/>
    <w:rsid w:val="007169BA"/>
    <w:rsid w:val="007363AE"/>
    <w:rsid w:val="00744A71"/>
    <w:rsid w:val="00750251"/>
    <w:rsid w:val="007511F9"/>
    <w:rsid w:val="007518BE"/>
    <w:rsid w:val="0076058F"/>
    <w:rsid w:val="0078035B"/>
    <w:rsid w:val="00782B7B"/>
    <w:rsid w:val="007A049C"/>
    <w:rsid w:val="007A1CF6"/>
    <w:rsid w:val="007B4737"/>
    <w:rsid w:val="007B58F3"/>
    <w:rsid w:val="007C2E93"/>
    <w:rsid w:val="007C3FC4"/>
    <w:rsid w:val="007C48B3"/>
    <w:rsid w:val="007D23D7"/>
    <w:rsid w:val="007E5F4E"/>
    <w:rsid w:val="007F07FC"/>
    <w:rsid w:val="00800A11"/>
    <w:rsid w:val="00840253"/>
    <w:rsid w:val="00870952"/>
    <w:rsid w:val="00874908"/>
    <w:rsid w:val="00894F98"/>
    <w:rsid w:val="00897BDB"/>
    <w:rsid w:val="008A0821"/>
    <w:rsid w:val="008A33D6"/>
    <w:rsid w:val="008A3511"/>
    <w:rsid w:val="008C151E"/>
    <w:rsid w:val="008C481C"/>
    <w:rsid w:val="008F004D"/>
    <w:rsid w:val="008F2286"/>
    <w:rsid w:val="008F3E49"/>
    <w:rsid w:val="008F618D"/>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14064"/>
    <w:rsid w:val="00A17D4E"/>
    <w:rsid w:val="00A21E81"/>
    <w:rsid w:val="00A34696"/>
    <w:rsid w:val="00A4650B"/>
    <w:rsid w:val="00A5636A"/>
    <w:rsid w:val="00A62CEF"/>
    <w:rsid w:val="00A7138E"/>
    <w:rsid w:val="00A7165F"/>
    <w:rsid w:val="00A7382E"/>
    <w:rsid w:val="00A75FB4"/>
    <w:rsid w:val="00AA0908"/>
    <w:rsid w:val="00AA7D31"/>
    <w:rsid w:val="00AC251F"/>
    <w:rsid w:val="00AC5E00"/>
    <w:rsid w:val="00AD6B91"/>
    <w:rsid w:val="00AE01D5"/>
    <w:rsid w:val="00AF31E7"/>
    <w:rsid w:val="00AF498A"/>
    <w:rsid w:val="00AF6657"/>
    <w:rsid w:val="00B0626A"/>
    <w:rsid w:val="00B12554"/>
    <w:rsid w:val="00B354C3"/>
    <w:rsid w:val="00B45D3D"/>
    <w:rsid w:val="00B52528"/>
    <w:rsid w:val="00B53643"/>
    <w:rsid w:val="00B55B5C"/>
    <w:rsid w:val="00B56B23"/>
    <w:rsid w:val="00B8601E"/>
    <w:rsid w:val="00B92237"/>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63DF6"/>
    <w:rsid w:val="00C707A5"/>
    <w:rsid w:val="00C85FFC"/>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87EFD"/>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F42"/>
    <w:rsid w:val="00E40457"/>
    <w:rsid w:val="00E421D3"/>
    <w:rsid w:val="00E63BF2"/>
    <w:rsid w:val="00E63C16"/>
    <w:rsid w:val="00E67033"/>
    <w:rsid w:val="00E7587F"/>
    <w:rsid w:val="00E764EF"/>
    <w:rsid w:val="00E76632"/>
    <w:rsid w:val="00E82955"/>
    <w:rsid w:val="00EA1E18"/>
    <w:rsid w:val="00EB5FB3"/>
    <w:rsid w:val="00EB7610"/>
    <w:rsid w:val="00ED6B56"/>
    <w:rsid w:val="00EE20F4"/>
    <w:rsid w:val="00EF2BC8"/>
    <w:rsid w:val="00EF4A21"/>
    <w:rsid w:val="00F00410"/>
    <w:rsid w:val="00F01A93"/>
    <w:rsid w:val="00F06034"/>
    <w:rsid w:val="00F112E6"/>
    <w:rsid w:val="00F14991"/>
    <w:rsid w:val="00F15BF9"/>
    <w:rsid w:val="00F26809"/>
    <w:rsid w:val="00F34589"/>
    <w:rsid w:val="00F412B2"/>
    <w:rsid w:val="00F45BE4"/>
    <w:rsid w:val="00F71A3D"/>
    <w:rsid w:val="00F8425E"/>
    <w:rsid w:val="00F93C03"/>
    <w:rsid w:val="00FA600D"/>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AD38147E0AA76C349DA1F4E5AE3147CFDCB03D1B4420863578BFC147A283E0C60C2EEB0E15552010w9S5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8E775-F985-4BF8-88B0-28DBA283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3177</Words>
  <Characters>18113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21248</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14</cp:revision>
  <cp:lastPrinted>2017-03-15T06:58:00Z</cp:lastPrinted>
  <dcterms:created xsi:type="dcterms:W3CDTF">2017-03-09T06:30:00Z</dcterms:created>
  <dcterms:modified xsi:type="dcterms:W3CDTF">2017-03-30T06:44:00Z</dcterms:modified>
</cp:coreProperties>
</file>