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C9" w:rsidRPr="00373BA6" w:rsidRDefault="00887FC9" w:rsidP="00887FC9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87FC9" w:rsidRDefault="00887FC9" w:rsidP="00887FC9">
      <w:pPr>
        <w:jc w:val="right"/>
        <w:rPr>
          <w:rFonts w:ascii="Times New Roman" w:hAnsi="Times New Roman"/>
        </w:rPr>
      </w:pPr>
      <w:proofErr w:type="gramStart"/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  <w:proofErr w:type="gramEnd"/>
    </w:p>
    <w:p w:rsidR="00887FC9" w:rsidRDefault="00887FC9" w:rsidP="00887FC9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887FC9" w:rsidRPr="0010395B" w:rsidTr="00B42D1F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BF74CA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887FC9" w:rsidRPr="0010395B" w:rsidTr="00B42D1F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652714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652714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Поставка резервуара вертикального стального V-150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6A702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</w:t>
            </w:r>
            <w:r w:rsidR="006A702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</w:t>
            </w:r>
            <w:r w:rsidR="006A702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.1</w:t>
            </w:r>
            <w:r w:rsidR="006A702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.1</w:t>
            </w:r>
            <w:r w:rsidR="006A702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6A7026" w:rsidRDefault="006A7026" w:rsidP="00B42D1F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6A7026">
              <w:rPr>
                <w:rFonts w:ascii="Times New Roman" w:hAnsi="Times New Roman"/>
                <w:b/>
                <w:sz w:val="24"/>
                <w:szCs w:val="24"/>
              </w:rPr>
              <w:t>3 068 000,00</w:t>
            </w:r>
          </w:p>
        </w:tc>
      </w:tr>
      <w:tr w:rsidR="00887FC9" w:rsidRPr="0010395B" w:rsidTr="00B42D1F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C9" w:rsidRPr="006A7026" w:rsidRDefault="006A7026" w:rsidP="00B42D1F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6A7026">
              <w:rPr>
                <w:rFonts w:ascii="Times New Roman" w:hAnsi="Times New Roman"/>
                <w:b/>
                <w:sz w:val="24"/>
                <w:szCs w:val="24"/>
              </w:rPr>
              <w:t>3 068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A702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FC9" w:rsidRPr="0010395B" w:rsidRDefault="00887FC9" w:rsidP="00B42D1F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887FC9" w:rsidRPr="0010395B" w:rsidTr="00B42D1F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C9" w:rsidRPr="0010395B" w:rsidRDefault="00887FC9" w:rsidP="00B42D1F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887FC9" w:rsidRPr="001D2291" w:rsidRDefault="00BF74CA" w:rsidP="00887FC9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описания </w:t>
      </w:r>
      <w:r>
        <w:rPr>
          <w:rFonts w:ascii="Times New Roman" w:hAnsi="Times New Roman"/>
          <w:b/>
        </w:rPr>
        <w:t>объекта</w:t>
      </w:r>
      <w:r w:rsidRPr="00B634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закупки</w:t>
      </w:r>
    </w:p>
    <w:p w:rsidR="00887FC9" w:rsidRDefault="00887FC9" w:rsidP="00887FC9">
      <w:pPr>
        <w:rPr>
          <w:rFonts w:ascii="Times New Roman" w:hAnsi="Times New Roman"/>
        </w:rPr>
      </w:pPr>
    </w:p>
    <w:p w:rsidR="00887FC9" w:rsidRDefault="00887FC9" w:rsidP="00887FC9">
      <w:pPr>
        <w:ind w:firstLine="709"/>
        <w:rPr>
          <w:rFonts w:ascii="Times New Roman" w:hAnsi="Times New Roman"/>
          <w:sz w:val="24"/>
          <w:szCs w:val="24"/>
        </w:rPr>
      </w:pPr>
    </w:p>
    <w:p w:rsidR="00887FC9" w:rsidRDefault="00887FC9" w:rsidP="00887FC9">
      <w:pPr>
        <w:ind w:firstLine="709"/>
        <w:rPr>
          <w:rFonts w:ascii="Times New Roman" w:hAnsi="Times New Roman"/>
          <w:sz w:val="24"/>
          <w:szCs w:val="24"/>
        </w:rPr>
      </w:pPr>
    </w:p>
    <w:p w:rsidR="00887FC9" w:rsidRPr="00AA5855" w:rsidRDefault="00887FC9" w:rsidP="00887FC9">
      <w:pPr>
        <w:ind w:firstLine="709"/>
        <w:rPr>
          <w:rFonts w:ascii="Times New Roman" w:hAnsi="Times New Roman"/>
          <w:sz w:val="24"/>
          <w:szCs w:val="24"/>
        </w:rPr>
      </w:pPr>
    </w:p>
    <w:p w:rsidR="00887FC9" w:rsidRDefault="00887FC9" w:rsidP="00887FC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7026" w:rsidRDefault="006A7026" w:rsidP="00887FC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7FC9" w:rsidRDefault="00887FC9" w:rsidP="00887FC9">
      <w:pPr>
        <w:ind w:firstLine="709"/>
        <w:rPr>
          <w:rFonts w:ascii="Times New Roman" w:hAnsi="Times New Roman"/>
          <w:sz w:val="24"/>
          <w:szCs w:val="24"/>
        </w:rPr>
        <w:sectPr w:rsidR="00887FC9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887FC9" w:rsidRDefault="00887FC9" w:rsidP="00887FC9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87FC9" w:rsidRPr="007A15B9" w:rsidRDefault="00887FC9" w:rsidP="00887FC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</w:t>
      </w:r>
      <w:r w:rsidR="00002BF1" w:rsidRPr="007A15B9">
        <w:rPr>
          <w:rFonts w:ascii="Times New Roman" w:hAnsi="Times New Roman"/>
          <w:sz w:val="22"/>
          <w:szCs w:val="22"/>
        </w:rPr>
        <w:t>к заявке</w:t>
      </w:r>
    </w:p>
    <w:p w:rsidR="00887FC9" w:rsidRPr="00450A59" w:rsidRDefault="00887FC9" w:rsidP="00887FC9">
      <w:pPr>
        <w:ind w:firstLine="709"/>
        <w:rPr>
          <w:rFonts w:ascii="Times New Roman" w:hAnsi="Times New Roman"/>
        </w:rPr>
      </w:pPr>
    </w:p>
    <w:p w:rsidR="00887FC9" w:rsidRDefault="00887FC9" w:rsidP="00887FC9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887FC9" w:rsidRPr="008E4709" w:rsidRDefault="00887FC9" w:rsidP="00887FC9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887FC9" w:rsidRDefault="00887FC9" w:rsidP="00887FC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Предмет </w:t>
      </w:r>
      <w:r w:rsidR="00002BF1" w:rsidRPr="002115AF">
        <w:rPr>
          <w:rFonts w:ascii="Times New Roman" w:hAnsi="Times New Roman"/>
          <w:b/>
        </w:rPr>
        <w:t>контракта:</w:t>
      </w:r>
      <w:r w:rsidR="00002BF1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> </w:t>
      </w:r>
      <w:r w:rsidR="006A7026" w:rsidRPr="006A7026">
        <w:rPr>
          <w:rFonts w:ascii="Times New Roman" w:hAnsi="Times New Roman"/>
          <w:bCs w:val="0"/>
          <w:iCs w:val="0"/>
          <w:color w:val="000000"/>
        </w:rPr>
        <w:t>Поставка резервуара вертикального стального V-150 м3</w:t>
      </w:r>
    </w:p>
    <w:p w:rsidR="00887FC9" w:rsidRPr="002115AF" w:rsidRDefault="00887FC9" w:rsidP="00887FC9">
      <w:pPr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 xml:space="preserve">Срок </w:t>
      </w:r>
      <w:r w:rsidR="00002BF1" w:rsidRPr="002115AF">
        <w:rPr>
          <w:rFonts w:ascii="Times New Roman" w:hAnsi="Times New Roman"/>
          <w:b/>
        </w:rPr>
        <w:t>выполнения работ</w:t>
      </w:r>
      <w:r w:rsidRPr="002115AF">
        <w:rPr>
          <w:rFonts w:ascii="Times New Roman" w:hAnsi="Times New Roman"/>
          <w:b/>
        </w:rPr>
        <w:t xml:space="preserve">: </w:t>
      </w:r>
      <w:r w:rsidR="006A7026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2115AF">
        <w:rPr>
          <w:rFonts w:ascii="Times New Roman" w:hAnsi="Times New Roman"/>
        </w:rPr>
        <w:t xml:space="preserve"> дней с момента подписания </w:t>
      </w:r>
      <w:r>
        <w:rPr>
          <w:rFonts w:ascii="Times New Roman" w:hAnsi="Times New Roman"/>
        </w:rPr>
        <w:t>контракта.</w:t>
      </w:r>
    </w:p>
    <w:p w:rsidR="006A7026" w:rsidRPr="006A7026" w:rsidRDefault="00887FC9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002BF1">
        <w:rPr>
          <w:rFonts w:ascii="Times New Roman" w:hAnsi="Times New Roman"/>
          <w:b/>
        </w:rPr>
        <w:t xml:space="preserve">Место </w:t>
      </w:r>
      <w:r w:rsidR="00002BF1" w:rsidRPr="008E4709">
        <w:rPr>
          <w:rFonts w:ascii="Times New Roman" w:hAnsi="Times New Roman"/>
          <w:b/>
        </w:rPr>
        <w:t xml:space="preserve">оказания </w:t>
      </w:r>
      <w:r w:rsidR="00002BF1">
        <w:rPr>
          <w:rFonts w:ascii="Times New Roman" w:hAnsi="Times New Roman"/>
          <w:b/>
        </w:rPr>
        <w:t>услуг</w:t>
      </w:r>
      <w:r w:rsidRPr="008E4709">
        <w:rPr>
          <w:rFonts w:ascii="Times New Roman" w:hAnsi="Times New Roman"/>
          <w:b/>
        </w:rPr>
        <w:t>:</w:t>
      </w:r>
      <w:r w:rsidRPr="008E4709">
        <w:rPr>
          <w:rFonts w:ascii="Times New Roman" w:hAnsi="Times New Roman"/>
        </w:rPr>
        <w:t xml:space="preserve"> Тюменская область, ХМАО-Югра,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Сургутский</w:t>
      </w:r>
      <w:proofErr w:type="spellEnd"/>
      <w:r>
        <w:rPr>
          <w:rFonts w:ascii="Times New Roman" w:hAnsi="Times New Roman"/>
        </w:rPr>
        <w:t xml:space="preserve"> район, г.</w:t>
      </w:r>
      <w:r w:rsidR="00227F5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Лянтор</w:t>
      </w:r>
      <w:proofErr w:type="spellEnd"/>
      <w:r w:rsidRPr="0079441A">
        <w:rPr>
          <w:rFonts w:ascii="Times New Roman" w:hAnsi="Times New Roman"/>
        </w:rPr>
        <w:t xml:space="preserve">, </w:t>
      </w:r>
      <w:r w:rsidR="00227F5C">
        <w:rPr>
          <w:rFonts w:ascii="Times New Roman" w:hAnsi="Times New Roman"/>
        </w:rPr>
        <w:t xml:space="preserve">ул. Магистральная, стр.12/1, </w:t>
      </w:r>
      <w:r w:rsidR="006A7026" w:rsidRPr="006A7026">
        <w:rPr>
          <w:rFonts w:ascii="Times New Roman" w:hAnsi="Times New Roman"/>
        </w:rPr>
        <w:t>Котельная № 3.</w:t>
      </w:r>
    </w:p>
    <w:p w:rsidR="006A7026" w:rsidRDefault="006A7026" w:rsidP="00227F5C">
      <w:pPr>
        <w:rPr>
          <w:rFonts w:ascii="Times New Roman" w:hAnsi="Times New Roman"/>
          <w:bCs w:val="0"/>
          <w:iCs w:val="0"/>
          <w:color w:val="000000"/>
        </w:rPr>
      </w:pPr>
      <w:r>
        <w:rPr>
          <w:rFonts w:ascii="Times New Roman" w:hAnsi="Times New Roman"/>
          <w:b/>
        </w:rPr>
        <w:t xml:space="preserve">4. </w:t>
      </w:r>
      <w:r w:rsidR="00887FC9" w:rsidRPr="008E4709">
        <w:rPr>
          <w:rFonts w:ascii="Times New Roman" w:hAnsi="Times New Roman"/>
          <w:b/>
        </w:rPr>
        <w:t>Цели контракта:</w:t>
      </w:r>
      <w:r w:rsidR="00887FC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обеспечение </w:t>
      </w:r>
      <w:r>
        <w:rPr>
          <w:rFonts w:ascii="Times New Roman" w:hAnsi="Times New Roman"/>
          <w:bCs w:val="0"/>
          <w:iCs w:val="0"/>
          <w:color w:val="000000"/>
        </w:rPr>
        <w:t>п</w:t>
      </w:r>
      <w:r w:rsidRPr="006A7026">
        <w:rPr>
          <w:rFonts w:ascii="Times New Roman" w:hAnsi="Times New Roman"/>
          <w:bCs w:val="0"/>
          <w:iCs w:val="0"/>
          <w:color w:val="000000"/>
        </w:rPr>
        <w:t>оставк</w:t>
      </w:r>
      <w:r>
        <w:rPr>
          <w:rFonts w:ascii="Times New Roman" w:hAnsi="Times New Roman"/>
          <w:bCs w:val="0"/>
          <w:iCs w:val="0"/>
          <w:color w:val="000000"/>
        </w:rPr>
        <w:t>и</w:t>
      </w:r>
      <w:r w:rsidRPr="006A7026">
        <w:rPr>
          <w:rFonts w:ascii="Times New Roman" w:hAnsi="Times New Roman"/>
          <w:bCs w:val="0"/>
          <w:iCs w:val="0"/>
          <w:color w:val="000000"/>
        </w:rPr>
        <w:t xml:space="preserve"> резервуара вертикального стального V-</w:t>
      </w:r>
      <w:r>
        <w:rPr>
          <w:rFonts w:ascii="Times New Roman" w:hAnsi="Times New Roman"/>
          <w:bCs w:val="0"/>
          <w:iCs w:val="0"/>
          <w:color w:val="000000"/>
        </w:rPr>
        <w:t>150 м3</w:t>
      </w:r>
    </w:p>
    <w:p w:rsidR="006A7026" w:rsidRDefault="00227F5C" w:rsidP="00227F5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Краткая </w:t>
      </w:r>
      <w:r w:rsidR="00002BF1" w:rsidRPr="008E4709">
        <w:rPr>
          <w:rFonts w:ascii="Times New Roman" w:hAnsi="Times New Roman"/>
          <w:b/>
        </w:rPr>
        <w:t xml:space="preserve">техническая </w:t>
      </w:r>
      <w:r w:rsidR="00002BF1">
        <w:rPr>
          <w:rFonts w:ascii="Times New Roman" w:hAnsi="Times New Roman"/>
          <w:b/>
        </w:rPr>
        <w:t>характеристика</w:t>
      </w:r>
      <w:r w:rsidR="00887FC9" w:rsidRPr="008E4709">
        <w:rPr>
          <w:rFonts w:ascii="Times New Roman" w:hAnsi="Times New Roman"/>
          <w:b/>
        </w:rPr>
        <w:t>:</w:t>
      </w:r>
      <w:r w:rsidR="00887FC9">
        <w:rPr>
          <w:rFonts w:ascii="Times New Roman" w:hAnsi="Times New Roman"/>
          <w:b/>
        </w:rPr>
        <w:t xml:space="preserve"> </w:t>
      </w:r>
      <w:r w:rsidR="006A7026" w:rsidRPr="006A7026">
        <w:rPr>
          <w:rFonts w:ascii="Times New Roman" w:hAnsi="Times New Roman"/>
        </w:rPr>
        <w:t>Поставка резервуара вертикального стального V-150 м3</w:t>
      </w:r>
      <w:r w:rsidR="00E730AB">
        <w:rPr>
          <w:rFonts w:ascii="Times New Roman" w:hAnsi="Times New Roman"/>
        </w:rPr>
        <w:t>.</w:t>
      </w:r>
      <w:r w:rsidR="006A7026" w:rsidRPr="006A7026">
        <w:rPr>
          <w:rFonts w:ascii="Times New Roman" w:hAnsi="Times New Roman"/>
        </w:rPr>
        <w:t xml:space="preserve"> </w:t>
      </w:r>
    </w:p>
    <w:p w:rsidR="00887FC9" w:rsidRDefault="00887FC9" w:rsidP="006A7026">
      <w:pPr>
        <w:rPr>
          <w:rFonts w:ascii="Times New Roman" w:hAnsi="Times New Roman"/>
        </w:rPr>
      </w:pPr>
      <w:r w:rsidRPr="002115AF">
        <w:rPr>
          <w:rFonts w:ascii="Times New Roman" w:hAnsi="Times New Roman"/>
        </w:rPr>
        <w:t xml:space="preserve">100% </w:t>
      </w:r>
      <w:r w:rsidR="006A7026">
        <w:rPr>
          <w:rFonts w:ascii="Times New Roman" w:hAnsi="Times New Roman"/>
          <w:bCs w:val="0"/>
          <w:iCs w:val="0"/>
          <w:color w:val="000000"/>
        </w:rPr>
        <w:t>п</w:t>
      </w:r>
      <w:r w:rsidR="006A7026" w:rsidRPr="006A7026">
        <w:rPr>
          <w:rFonts w:ascii="Times New Roman" w:hAnsi="Times New Roman"/>
          <w:bCs w:val="0"/>
          <w:iCs w:val="0"/>
          <w:color w:val="000000"/>
        </w:rPr>
        <w:t>оставка резервуара вертикального стального V-150 м3</w:t>
      </w:r>
      <w:r w:rsidR="00E730AB">
        <w:rPr>
          <w:rFonts w:ascii="Times New Roman" w:hAnsi="Times New Roman"/>
          <w:bCs w:val="0"/>
          <w:iCs w:val="0"/>
          <w:color w:val="000000"/>
        </w:rPr>
        <w:t>.</w:t>
      </w:r>
    </w:p>
    <w:p w:rsidR="00887FC9" w:rsidRDefault="00887FC9" w:rsidP="00887FC9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  <w:bookmarkStart w:id="1" w:name="_GoBack"/>
      <w:bookmarkEnd w:id="1"/>
    </w:p>
    <w:tbl>
      <w:tblPr>
        <w:tblpPr w:leftFromText="180" w:rightFromText="180" w:vertAnchor="text" w:horzAnchor="margin" w:tblpXSpec="center" w:tblpY="143"/>
        <w:tblW w:w="10008" w:type="dxa"/>
        <w:tblLayout w:type="fixed"/>
        <w:tblLook w:val="0000" w:firstRow="0" w:lastRow="0" w:firstColumn="0" w:lastColumn="0" w:noHBand="0" w:noVBand="0"/>
      </w:tblPr>
      <w:tblGrid>
        <w:gridCol w:w="3051"/>
        <w:gridCol w:w="3861"/>
        <w:gridCol w:w="1476"/>
        <w:gridCol w:w="1620"/>
      </w:tblGrid>
      <w:tr w:rsidR="002B441A" w:rsidRPr="00A7300C" w:rsidTr="00845155">
        <w:trPr>
          <w:trHeight w:val="89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sz w:val="24"/>
                <w:szCs w:val="24"/>
              </w:rPr>
            </w:pPr>
            <w:r w:rsidRPr="00A7300C">
              <w:rPr>
                <w:rFonts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sz w:val="24"/>
                <w:szCs w:val="24"/>
              </w:rPr>
            </w:pPr>
            <w:r w:rsidRPr="00A7300C">
              <w:rPr>
                <w:rFonts w:cs="Arial"/>
                <w:sz w:val="24"/>
                <w:szCs w:val="24"/>
              </w:rPr>
              <w:t>Характеристика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 w:rsidRPr="00A7300C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 w:rsidRPr="00A7300C">
              <w:rPr>
                <w:rFonts w:cs="Arial"/>
                <w:sz w:val="24"/>
                <w:szCs w:val="24"/>
              </w:rPr>
              <w:t>Количество</w:t>
            </w:r>
          </w:p>
        </w:tc>
      </w:tr>
      <w:tr w:rsidR="002B441A" w:rsidRPr="0089705A" w:rsidTr="007B7F6F">
        <w:trPr>
          <w:trHeight w:val="1428"/>
        </w:trPr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41A" w:rsidRDefault="002B441A" w:rsidP="007B7F6F">
            <w:pPr>
              <w:rPr>
                <w:rFonts w:cs="Arial"/>
                <w:sz w:val="24"/>
                <w:szCs w:val="24"/>
              </w:rPr>
            </w:pPr>
            <w:r w:rsidRPr="00FD1259">
              <w:rPr>
                <w:rFonts w:cs="Arial"/>
                <w:sz w:val="24"/>
                <w:szCs w:val="24"/>
              </w:rPr>
              <w:t>РВС объёмом 150 кубических метров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2B441A" w:rsidRPr="0089705A" w:rsidRDefault="002B441A" w:rsidP="007B7F6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Pr="00D03FD6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Резервуар стальной, </w:t>
            </w:r>
            <w:proofErr w:type="gramStart"/>
            <w:r>
              <w:rPr>
                <w:rFonts w:cs="Arial"/>
                <w:sz w:val="24"/>
                <w:szCs w:val="24"/>
              </w:rPr>
              <w:t>шири-ной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верха и дна Ø 5450 мм, с крышей 8-ми сегментной, общей высотой 7755мм, из металла толщиной 4,5 мм с дном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89705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2B441A" w:rsidRPr="0089705A" w:rsidTr="007B7F6F">
        <w:trPr>
          <w:trHeight w:val="1200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Люк-лаз смотровой с крышкой Ø 600 мм на фланцах, болтами, гайками и прокладкой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89705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2B441A" w:rsidRPr="0089705A" w:rsidTr="007B7F6F">
        <w:trPr>
          <w:trHeight w:val="816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 Патрубок входа подачи среды Ø 159х4,5мм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89705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2B441A" w:rsidRPr="0089705A" w:rsidTr="007B7F6F">
        <w:trPr>
          <w:trHeight w:val="132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 Патрубок выхода среды Ø273х6мм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89705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2B441A" w:rsidRPr="0089705A" w:rsidTr="007B7F6F">
        <w:trPr>
          <w:trHeight w:val="132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 Патрубок дренажа Ø 89х3мм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89705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2B441A" w:rsidRPr="0089705A" w:rsidTr="007B7F6F">
        <w:trPr>
          <w:trHeight w:val="132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 Патрубок переливной Ø159х4,5мм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Pr="00A7300C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Pr="0089705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2B441A" w:rsidTr="007B7F6F">
        <w:trPr>
          <w:trHeight w:val="1158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 Трубопровод выхода среды внутри бака: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Ø 273х6мм на опорах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заглушка торцевая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2B441A" w:rsidTr="007B7F6F">
        <w:trPr>
          <w:trHeight w:val="466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 Отвод Ø 273х6мм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2B441A" w:rsidTr="00845155">
        <w:trPr>
          <w:trHeight w:val="2494"/>
        </w:trPr>
        <w:tc>
          <w:tcPr>
            <w:tcW w:w="30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441A" w:rsidRPr="00FD1259" w:rsidRDefault="002B441A" w:rsidP="007B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 Устройство переливное: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труба  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1020х9мм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металл толщиной 5 мм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труба Ø 159х4,5мм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отвод 90° Ø159х4,5мм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уголок 50х50 толщиной 5 мм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труба Ø32х2мм</w:t>
            </w:r>
          </w:p>
          <w:p w:rsidR="002B441A" w:rsidRDefault="002B441A" w:rsidP="007B7F6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труба Ø57х3мм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мм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м2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мп</w:t>
            </w:r>
            <w:proofErr w:type="spellEnd"/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шт</w:t>
            </w:r>
            <w:proofErr w:type="spellEnd"/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мп</w:t>
            </w:r>
            <w:proofErr w:type="spellEnd"/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мп</w:t>
            </w:r>
            <w:proofErr w:type="spellEnd"/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  <w:p w:rsidR="002B441A" w:rsidRDefault="002B441A" w:rsidP="007B7F6F">
            <w:pPr>
              <w:jc w:val="center"/>
              <w:rPr>
                <w:rFonts w:cs="Arial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DC4C87" w:rsidRPr="00DC4C87" w:rsidRDefault="00DC4C87" w:rsidP="00DC4C87">
      <w:pPr>
        <w:jc w:val="both"/>
        <w:rPr>
          <w:rFonts w:ascii="Times New Roman" w:hAnsi="Times New Roman"/>
          <w:bCs w:val="0"/>
          <w:iCs w:val="0"/>
        </w:rPr>
      </w:pPr>
      <w:r w:rsidRPr="00DC4C87">
        <w:rPr>
          <w:rFonts w:ascii="Times New Roman" w:hAnsi="Times New Roman"/>
        </w:rPr>
        <w:t xml:space="preserve">***** Схема существующего бака </w:t>
      </w:r>
      <w:r w:rsidRPr="00DC4C87">
        <w:rPr>
          <w:rFonts w:ascii="Times New Roman" w:hAnsi="Times New Roman"/>
          <w:lang w:val="en-US"/>
        </w:rPr>
        <w:t>V</w:t>
      </w:r>
      <w:r w:rsidR="00A56CD7">
        <w:rPr>
          <w:rFonts w:ascii="Times New Roman" w:hAnsi="Times New Roman"/>
        </w:rPr>
        <w:t>-150м3, в приложении №1</w:t>
      </w:r>
    </w:p>
    <w:p w:rsidR="00002BF1" w:rsidRDefault="00002BF1" w:rsidP="00AB0819">
      <w:pPr>
        <w:jc w:val="both"/>
        <w:rPr>
          <w:rFonts w:ascii="Times New Roman" w:hAnsi="Times New Roman"/>
          <w:b/>
        </w:rPr>
      </w:pPr>
    </w:p>
    <w:p w:rsidR="00AB0819" w:rsidRPr="003401BB" w:rsidRDefault="00AB0819" w:rsidP="003401B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   </w:t>
      </w:r>
      <w:r w:rsidR="003401BB" w:rsidRPr="00853297">
        <w:rPr>
          <w:rFonts w:ascii="Times New Roman" w:hAnsi="Times New Roman"/>
          <w:b/>
        </w:rPr>
        <w:t>Требования к качеству поставки товара/выполнения работ/оказания услуг</w:t>
      </w:r>
      <w:r w:rsidR="003401BB" w:rsidRPr="00853297">
        <w:rPr>
          <w:rFonts w:ascii="Times New Roman" w:hAnsi="Times New Roman"/>
        </w:rPr>
        <w:t xml:space="preserve"> </w:t>
      </w:r>
      <w:r w:rsidR="003401BB" w:rsidRPr="00853297">
        <w:rPr>
          <w:rFonts w:ascii="Times New Roman" w:hAnsi="Times New Roman"/>
          <w:b/>
        </w:rPr>
        <w:t>к их безопасности</w:t>
      </w:r>
    </w:p>
    <w:p w:rsidR="00002BF1" w:rsidRDefault="00AB0819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="003401BB">
        <w:rPr>
          <w:rFonts w:ascii="Times New Roman" w:hAnsi="Times New Roman"/>
        </w:rPr>
        <w:t>Резервуар должен быть изготовлен в соответствии</w:t>
      </w:r>
    </w:p>
    <w:p w:rsidR="00002BF1" w:rsidRPr="00002BF1" w:rsidRDefault="003401BB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02BF1" w:rsidRPr="00C107C1">
        <w:rPr>
          <w:b/>
          <w:sz w:val="24"/>
          <w:szCs w:val="24"/>
        </w:rPr>
        <w:t xml:space="preserve"> </w:t>
      </w:r>
      <w:r w:rsidR="00002BF1" w:rsidRPr="00002BF1">
        <w:rPr>
          <w:rFonts w:ascii="Times New Roman" w:hAnsi="Times New Roman"/>
          <w:color w:val="2D2D2D"/>
          <w:spacing w:val="1"/>
        </w:rPr>
        <w:t>ГОСТ 31385-2008. Резервуары вертикальные цилиндрические стальные для нефти и нефтепродуктов. Общие технические условия;</w:t>
      </w:r>
    </w:p>
    <w:p w:rsidR="00853297" w:rsidRPr="00853297" w:rsidRDefault="004104F6" w:rsidP="008532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53297" w:rsidRPr="00853297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853297" w:rsidRPr="00853297">
        <w:rPr>
          <w:rFonts w:ascii="Times New Roman" w:hAnsi="Times New Roman"/>
        </w:rPr>
        <w:t>.Поставляеммые элементы резервуара вертикального стального наземного (РВС) объёмом 150 кубических метров должны полностью соответствовать техническим характеристикам</w:t>
      </w:r>
    </w:p>
    <w:p w:rsidR="00853297" w:rsidRPr="00853297" w:rsidRDefault="004104F6" w:rsidP="008532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53297" w:rsidRPr="00853297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853297" w:rsidRPr="00853297">
        <w:rPr>
          <w:rFonts w:ascii="Times New Roman" w:hAnsi="Times New Roman"/>
        </w:rPr>
        <w:t xml:space="preserve">. Все поставляемые элементы резервуара вертикального стального наземного (РВС) объёмом 150 кубических метров должны быть новыми (не находившимся в эксплуатации) с сопроводительными документами (руководство по эксплуатации, </w:t>
      </w:r>
      <w:r w:rsidR="00853297" w:rsidRPr="003401BB">
        <w:rPr>
          <w:rFonts w:ascii="Times New Roman" w:hAnsi="Times New Roman"/>
        </w:rPr>
        <w:t>руководство по монтажу (монтажные схемы),</w:t>
      </w:r>
      <w:r w:rsidR="00853297" w:rsidRPr="00853297">
        <w:rPr>
          <w:rFonts w:ascii="Times New Roman" w:hAnsi="Times New Roman"/>
        </w:rPr>
        <w:t xml:space="preserve"> паспорта, сертификаты и т.д.) на русском языке, свободным от прав третьих лиц, страна производитель Российская Федерация. </w:t>
      </w:r>
    </w:p>
    <w:p w:rsidR="00853297" w:rsidRPr="00853297" w:rsidRDefault="004104F6" w:rsidP="008532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53297" w:rsidRPr="00853297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853297" w:rsidRPr="00853297">
        <w:rPr>
          <w:rFonts w:ascii="Times New Roman" w:hAnsi="Times New Roman"/>
        </w:rPr>
        <w:t>. Все поставляемые элементы резервуара вертикального стального наземного (РВС) объёмом 150 кубических метров должны быть сертифицированы, иметь технические паспорта и иные документы, удостоверяющие их качество и безопасность, должны иметь разрешение на применение Ростехнадзора, иметь сертификаты соответствия, ГОСТ, ТУ, РД.</w:t>
      </w:r>
    </w:p>
    <w:p w:rsidR="00853297" w:rsidRPr="00853297" w:rsidRDefault="004104F6" w:rsidP="008532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53297" w:rsidRPr="00853297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853297" w:rsidRPr="00853297">
        <w:rPr>
          <w:rFonts w:ascii="Times New Roman" w:hAnsi="Times New Roman"/>
        </w:rPr>
        <w:t xml:space="preserve">.  Доставка товара до места назначения и его передача осуществляется представителем Продавца, до момента передачи товара проводится комиссионная проверка его соответствия предоставленным сертификатам качества и разрешениям, с составлением акта приема-передачи.   </w:t>
      </w:r>
    </w:p>
    <w:p w:rsidR="00853297" w:rsidRDefault="004104F6" w:rsidP="008532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53297" w:rsidRPr="00853297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="00853297" w:rsidRPr="00853297">
        <w:rPr>
          <w:rFonts w:ascii="Times New Roman" w:hAnsi="Times New Roman"/>
        </w:rPr>
        <w:t>. При поставке элементов резервуара вертикального стального наземного (РВС) объёмом 150 кубических метров предоставить (калькуляцию) на эти элементы с учетом сложившейся цены.</w:t>
      </w:r>
    </w:p>
    <w:p w:rsidR="00002BF1" w:rsidRDefault="004104F6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C5AED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="009C5AED">
        <w:rPr>
          <w:rFonts w:ascii="Times New Roman" w:hAnsi="Times New Roman"/>
        </w:rPr>
        <w:t xml:space="preserve">. </w:t>
      </w:r>
      <w:r w:rsidR="009C5AED" w:rsidRPr="009C5AED">
        <w:rPr>
          <w:rFonts w:ascii="Times New Roman" w:hAnsi="Times New Roman"/>
        </w:rPr>
        <w:t>Элементы резервуара вертикального стального наземного (РВС) объёмом 150 кубических метров должны отгружаться в упаковке, соответствующей характеру поставляемых элементов и способу транспортировки. Упаковка должна предохранять элементы от всякого рода повреждений, обеспечивать сохранность оборудования при транспортировке и погрузочно – разгрузочных работах</w:t>
      </w:r>
      <w:r w:rsidR="009C5AED">
        <w:rPr>
          <w:rFonts w:ascii="Times New Roman" w:hAnsi="Times New Roman"/>
        </w:rPr>
        <w:t>.</w:t>
      </w:r>
    </w:p>
    <w:p w:rsidR="009C5AED" w:rsidRPr="009C5AED" w:rsidRDefault="009C5AED" w:rsidP="00002BF1">
      <w:pPr>
        <w:jc w:val="both"/>
        <w:rPr>
          <w:rFonts w:ascii="Times New Roman" w:hAnsi="Times New Roman"/>
        </w:rPr>
      </w:pPr>
    </w:p>
    <w:p w:rsidR="00002BF1" w:rsidRPr="009C5AED" w:rsidRDefault="004104F6" w:rsidP="00002B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002BF1" w:rsidRPr="00AB369E">
        <w:rPr>
          <w:rFonts w:ascii="Times New Roman" w:hAnsi="Times New Roman"/>
          <w:b/>
        </w:rPr>
        <w:t>.</w:t>
      </w:r>
      <w:r w:rsidR="00002BF1">
        <w:rPr>
          <w:rFonts w:ascii="Times New Roman" w:hAnsi="Times New Roman"/>
          <w:b/>
        </w:rPr>
        <w:t xml:space="preserve"> Требования </w:t>
      </w:r>
      <w:r w:rsidR="00002BF1" w:rsidRPr="009C5AED">
        <w:rPr>
          <w:rFonts w:ascii="Times New Roman" w:hAnsi="Times New Roman"/>
          <w:b/>
        </w:rPr>
        <w:t xml:space="preserve">к </w:t>
      </w:r>
      <w:r w:rsidR="009C5AED" w:rsidRPr="009C5AED">
        <w:rPr>
          <w:rFonts w:ascii="Times New Roman" w:hAnsi="Times New Roman"/>
          <w:b/>
        </w:rPr>
        <w:t>сроку гарантий качества товара</w:t>
      </w:r>
    </w:p>
    <w:p w:rsidR="009C5AED" w:rsidRPr="009C5AED" w:rsidRDefault="004104F6" w:rsidP="009C5AED">
      <w:pPr>
        <w:pStyle w:val="a5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9C5AED" w:rsidRPr="009C5AED">
        <w:rPr>
          <w:b/>
          <w:sz w:val="28"/>
          <w:szCs w:val="28"/>
        </w:rPr>
        <w:t>.1.</w:t>
      </w:r>
      <w:r w:rsidR="009C5AED" w:rsidRPr="009C5AED">
        <w:rPr>
          <w:sz w:val="28"/>
          <w:szCs w:val="28"/>
        </w:rPr>
        <w:t xml:space="preserve"> Все поставляемое оборудование и материалы должны иметь гарантию производителя и поставщика. Обеспечение гарантии не должно накладывать дополнительные расходы на Заказчика.</w:t>
      </w:r>
    </w:p>
    <w:p w:rsidR="009C5AED" w:rsidRPr="009C5AED" w:rsidRDefault="004104F6" w:rsidP="009C5AED">
      <w:pPr>
        <w:pStyle w:val="a5"/>
        <w:tabs>
          <w:tab w:val="num" w:pos="0"/>
        </w:tabs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C5AED" w:rsidRPr="009C5AED">
        <w:rPr>
          <w:b/>
          <w:sz w:val="28"/>
          <w:szCs w:val="28"/>
        </w:rPr>
        <w:t>.2</w:t>
      </w:r>
      <w:r w:rsidR="009C5AED" w:rsidRPr="009C5AED">
        <w:rPr>
          <w:sz w:val="28"/>
          <w:szCs w:val="28"/>
        </w:rPr>
        <w:t xml:space="preserve">. Гарантийный срок должен составлять не менее </w:t>
      </w:r>
      <w:r w:rsidR="00C8370B">
        <w:rPr>
          <w:sz w:val="28"/>
          <w:szCs w:val="28"/>
        </w:rPr>
        <w:t>60</w:t>
      </w:r>
      <w:r w:rsidR="009C5AED" w:rsidRPr="009C5AED">
        <w:rPr>
          <w:sz w:val="28"/>
          <w:szCs w:val="28"/>
        </w:rPr>
        <w:t xml:space="preserve"> месяцев с момента подписания акта приема-передачи м</w:t>
      </w:r>
      <w:r w:rsidR="009C5AED">
        <w:rPr>
          <w:sz w:val="28"/>
          <w:szCs w:val="28"/>
        </w:rPr>
        <w:t>е</w:t>
      </w:r>
      <w:r w:rsidR="009C5AED" w:rsidRPr="009C5AED">
        <w:rPr>
          <w:sz w:val="28"/>
          <w:szCs w:val="28"/>
        </w:rPr>
        <w:t>жду Заказчиком и поставщиком. В период гарантийного срока должен производиться замена элементов резервуара, устранение недостатков в соответствии с требованиями действующего законодательства.</w:t>
      </w:r>
    </w:p>
    <w:p w:rsidR="009C5AED" w:rsidRPr="009C5AED" w:rsidRDefault="004104F6" w:rsidP="009C5A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9C5AED" w:rsidRPr="009C5AED">
        <w:rPr>
          <w:rFonts w:ascii="Times New Roman" w:hAnsi="Times New Roman"/>
          <w:b/>
        </w:rPr>
        <w:t>.3.</w:t>
      </w:r>
      <w:r w:rsidR="009C5AED" w:rsidRPr="009C5AED">
        <w:rPr>
          <w:rFonts w:ascii="Times New Roman" w:hAnsi="Times New Roman"/>
        </w:rPr>
        <w:t xml:space="preserve"> Если в течение гарантийного срока элементы резервуара вертикального стального наземного (РВС) объёмом 150 кубических метров</w:t>
      </w:r>
      <w:r w:rsidR="009C5AED">
        <w:rPr>
          <w:rFonts w:ascii="Times New Roman" w:hAnsi="Times New Roman"/>
        </w:rPr>
        <w:t xml:space="preserve"> </w:t>
      </w:r>
      <w:r w:rsidR="009C5AED" w:rsidRPr="009C5AED">
        <w:rPr>
          <w:rFonts w:ascii="Times New Roman" w:hAnsi="Times New Roman"/>
        </w:rPr>
        <w:t xml:space="preserve">окажутся некачественным или </w:t>
      </w:r>
      <w:r w:rsidR="00227F5C" w:rsidRPr="009C5AED">
        <w:rPr>
          <w:rFonts w:ascii="Times New Roman" w:hAnsi="Times New Roman"/>
        </w:rPr>
        <w:t>неисправным,</w:t>
      </w:r>
      <w:r w:rsidR="009C5AED" w:rsidRPr="009C5AED">
        <w:rPr>
          <w:rFonts w:ascii="Times New Roman" w:hAnsi="Times New Roman"/>
        </w:rPr>
        <w:t xml:space="preserve"> или не будет соответствовать условиям договора, то элементы должны быть заменены на новые, по согласованию с Заказчиком, в срок до 30 дней</w:t>
      </w:r>
      <w:r w:rsidR="009C5AED" w:rsidRPr="009C5AED">
        <w:rPr>
          <w:rFonts w:ascii="Times New Roman" w:hAnsi="Times New Roman"/>
          <w:b/>
        </w:rPr>
        <w:t>.</w:t>
      </w:r>
    </w:p>
    <w:p w:rsidR="009C5AED" w:rsidRDefault="009C5AED" w:rsidP="009C5AED">
      <w:pPr>
        <w:jc w:val="both"/>
        <w:rPr>
          <w:rFonts w:ascii="Times New Roman" w:hAnsi="Times New Roman"/>
        </w:rPr>
      </w:pPr>
      <w:r w:rsidRPr="009C5AED">
        <w:rPr>
          <w:rFonts w:ascii="Times New Roman" w:hAnsi="Times New Roman"/>
        </w:rPr>
        <w:t xml:space="preserve"> В случае обнаружения недостатков или замены оборудования (или его частей) гарантийный срок продлевается на период устранения недостатков.</w:t>
      </w:r>
    </w:p>
    <w:p w:rsidR="009C5AED" w:rsidRPr="009C5AED" w:rsidRDefault="009C5AED" w:rsidP="009C5AED">
      <w:pPr>
        <w:jc w:val="both"/>
        <w:rPr>
          <w:rFonts w:ascii="Times New Roman" w:hAnsi="Times New Roman"/>
          <w:b/>
        </w:rPr>
      </w:pPr>
    </w:p>
    <w:p w:rsidR="00E730AB" w:rsidRPr="00E730AB" w:rsidRDefault="004104F6" w:rsidP="00E730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E730AB" w:rsidRPr="00E730AB">
        <w:rPr>
          <w:rFonts w:ascii="Times New Roman" w:hAnsi="Times New Roman"/>
          <w:b/>
        </w:rPr>
        <w:t xml:space="preserve">. Форма, сроки и порядок оплаты товара: </w:t>
      </w:r>
    </w:p>
    <w:p w:rsidR="00E730AB" w:rsidRPr="00E730AB" w:rsidRDefault="004104F6" w:rsidP="00E730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30AB">
        <w:rPr>
          <w:rFonts w:ascii="Times New Roman" w:hAnsi="Times New Roman"/>
        </w:rPr>
        <w:t xml:space="preserve">.1. </w:t>
      </w:r>
      <w:r w:rsidR="00E730AB" w:rsidRPr="00E730AB">
        <w:rPr>
          <w:rFonts w:ascii="Times New Roman" w:hAnsi="Times New Roman"/>
        </w:rPr>
        <w:t xml:space="preserve">Безналичный расчет; по факту поставки всего товара на основании выставленных счет-фактур, актов приемки, оформленных в соответствии с требованиями нормативных документов в течении </w:t>
      </w:r>
      <w:r w:rsidR="00C8370B">
        <w:rPr>
          <w:rFonts w:ascii="Times New Roman" w:hAnsi="Times New Roman"/>
        </w:rPr>
        <w:t>90</w:t>
      </w:r>
      <w:r w:rsidR="00E730AB" w:rsidRPr="00E730AB">
        <w:rPr>
          <w:rFonts w:ascii="Times New Roman" w:hAnsi="Times New Roman"/>
        </w:rPr>
        <w:t xml:space="preserve"> дней.</w:t>
      </w: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2BF1" w:rsidRDefault="00002BF1" w:rsidP="00002BF1">
      <w:pPr>
        <w:rPr>
          <w:rFonts w:ascii="Times New Roman" w:hAnsi="Times New Roman"/>
        </w:rPr>
      </w:pPr>
    </w:p>
    <w:p w:rsidR="00002BF1" w:rsidRPr="008E4709" w:rsidRDefault="00002BF1" w:rsidP="00002BF1">
      <w:pPr>
        <w:rPr>
          <w:rFonts w:ascii="Times New Roman" w:hAnsi="Times New Roman"/>
        </w:rPr>
      </w:pPr>
    </w:p>
    <w:p w:rsidR="00002BF1" w:rsidRPr="008E4709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Pr="008E4709">
        <w:rPr>
          <w:rFonts w:ascii="Times New Roman" w:hAnsi="Times New Roman"/>
        </w:rPr>
        <w:t>:</w:t>
      </w:r>
    </w:p>
    <w:p w:rsidR="00002BF1" w:rsidRPr="008E4709" w:rsidRDefault="00002BF1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</w:t>
      </w:r>
      <w:proofErr w:type="gramStart"/>
      <w:r w:rsidR="001C759E" w:rsidRPr="008E4709">
        <w:rPr>
          <w:rFonts w:ascii="Times New Roman" w:hAnsi="Times New Roman" w:cs="Times New Roman"/>
          <w:sz w:val="28"/>
          <w:szCs w:val="28"/>
        </w:rPr>
        <w:t xml:space="preserve">лицо)  </w:t>
      </w:r>
      <w:r w:rsidRPr="008E4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4709">
        <w:rPr>
          <w:rFonts w:ascii="Times New Roman" w:hAnsi="Times New Roman" w:cs="Times New Roman"/>
          <w:sz w:val="28"/>
          <w:szCs w:val="28"/>
        </w:rPr>
        <w:t xml:space="preserve">             ____________         </w:t>
      </w:r>
      <w:r>
        <w:rPr>
          <w:rFonts w:ascii="Times New Roman" w:hAnsi="Times New Roman" w:cs="Times New Roman"/>
          <w:sz w:val="28"/>
          <w:szCs w:val="28"/>
          <w:u w:val="single"/>
        </w:rPr>
        <w:t>Белоусова И.А.</w:t>
      </w:r>
    </w:p>
    <w:p w:rsidR="00002BF1" w:rsidRPr="008E4709" w:rsidRDefault="00002BF1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(Ф.И.О.)</w:t>
      </w:r>
    </w:p>
    <w:p w:rsidR="00961D7F" w:rsidRDefault="00961D7F" w:rsidP="00887FC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F74CA" w:rsidRDefault="00BF74CA" w:rsidP="00887FC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sectPr w:rsidR="00BF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F2" w:rsidRDefault="006973F2">
      <w:r>
        <w:separator/>
      </w:r>
    </w:p>
  </w:endnote>
  <w:endnote w:type="continuationSeparator" w:id="0">
    <w:p w:rsidR="006973F2" w:rsidRDefault="006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09" w:rsidRDefault="006973F2">
    <w:pPr>
      <w:pStyle w:val="a3"/>
      <w:jc w:val="center"/>
    </w:pPr>
  </w:p>
  <w:p w:rsidR="006B4009" w:rsidRDefault="006973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F2" w:rsidRDefault="006973F2">
      <w:r>
        <w:separator/>
      </w:r>
    </w:p>
  </w:footnote>
  <w:footnote w:type="continuationSeparator" w:id="0">
    <w:p w:rsidR="006973F2" w:rsidRDefault="0069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9"/>
    <w:rsid w:val="00002BF1"/>
    <w:rsid w:val="00002C82"/>
    <w:rsid w:val="001811BE"/>
    <w:rsid w:val="001C759E"/>
    <w:rsid w:val="00227F5C"/>
    <w:rsid w:val="002A6D8B"/>
    <w:rsid w:val="002B441A"/>
    <w:rsid w:val="003401BB"/>
    <w:rsid w:val="00360D6E"/>
    <w:rsid w:val="004104F6"/>
    <w:rsid w:val="00592A01"/>
    <w:rsid w:val="00652714"/>
    <w:rsid w:val="006973F2"/>
    <w:rsid w:val="006A7026"/>
    <w:rsid w:val="00782BC1"/>
    <w:rsid w:val="00845155"/>
    <w:rsid w:val="0084757A"/>
    <w:rsid w:val="00853297"/>
    <w:rsid w:val="00887FC9"/>
    <w:rsid w:val="008A07D4"/>
    <w:rsid w:val="008C3070"/>
    <w:rsid w:val="009001FE"/>
    <w:rsid w:val="00961D7F"/>
    <w:rsid w:val="009A5174"/>
    <w:rsid w:val="009C5AED"/>
    <w:rsid w:val="009E3A54"/>
    <w:rsid w:val="00A56CD7"/>
    <w:rsid w:val="00AA1F30"/>
    <w:rsid w:val="00AB0819"/>
    <w:rsid w:val="00BF74CA"/>
    <w:rsid w:val="00C1525B"/>
    <w:rsid w:val="00C8370B"/>
    <w:rsid w:val="00CF4E64"/>
    <w:rsid w:val="00DC4C87"/>
    <w:rsid w:val="00DD5752"/>
    <w:rsid w:val="00DE6A52"/>
    <w:rsid w:val="00E5606A"/>
    <w:rsid w:val="00E730AB"/>
    <w:rsid w:val="00E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759B-7E60-4334-922F-5AF8BC35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C9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BF1"/>
    <w:pPr>
      <w:spacing w:before="100" w:beforeAutospacing="1" w:after="100" w:afterAutospacing="1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7F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7FC9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87FC9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Комментарий"/>
    <w:basedOn w:val="a"/>
    <w:next w:val="a"/>
    <w:rsid w:val="00002BF1"/>
    <w:pPr>
      <w:widowControl w:val="0"/>
      <w:autoSpaceDE w:val="0"/>
      <w:autoSpaceDN w:val="0"/>
      <w:adjustRightInd w:val="0"/>
      <w:ind w:left="170"/>
      <w:jc w:val="both"/>
    </w:pPr>
    <w:rPr>
      <w:bCs w:val="0"/>
      <w:i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pto01</dc:creator>
  <cp:keywords/>
  <dc:description/>
  <cp:lastModifiedBy>pto01</cp:lastModifiedBy>
  <cp:revision>17</cp:revision>
  <dcterms:created xsi:type="dcterms:W3CDTF">2017-04-17T03:43:00Z</dcterms:created>
  <dcterms:modified xsi:type="dcterms:W3CDTF">2017-04-19T02:57:00Z</dcterms:modified>
</cp:coreProperties>
</file>